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3.xml" ContentType="application/vnd.openxmlformats-officedocument.wordprocessingml.footer+xml"/>
  <Override PartName="/word/footer12.xml" ContentType="application/vnd.openxmlformats-officedocument.wordprocessingml.footer+xml"/>
  <Override PartName="/word/footer11.xml" ContentType="application/vnd.openxmlformats-officedocument.wordprocessingml.footer+xml"/>
  <Override PartName="/word/footer10.xml" ContentType="application/vnd.openxmlformats-officedocument.wordprocessingml.footer+xml"/>
  <Override PartName="/word/settings.xml" ContentType="application/vnd.openxmlformats-officedocument.wordprocessingml.settings+xml"/>
  <Override PartName="/word/document.xml" ContentType="application/vnd.openxmlformats-officedocument.wordprocessingml.document.main+xml"/>
  <Override PartName="/word/footer4.xml" ContentType="application/vnd.openxmlformats-officedocument.wordprocessingml.footer+xml"/>
  <Override PartName="/word/header7.xml" ContentType="application/vnd.openxmlformats-officedocument.wordprocessingml.header+xml"/>
  <Override PartName="/word/styles.xml" ContentType="application/vnd.openxmlformats-officedocument.wordprocessingml.styles+xml"/>
  <Override PartName="/word/header10.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header1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3.xml" ContentType="application/vnd.openxmlformats-officedocument.wordprocessingml.header+xml"/>
  <Override PartName="/word/footer7.xml" ContentType="application/vnd.openxmlformats-officedocument.wordprocessingml.footer+xml"/>
  <Override PartName="/word/footer1.xml" ContentType="application/vnd.openxmlformats-officedocument.wordprocessingml.footer+xml"/>
  <Override PartName="/word/header1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media/image1.png" ContentType="image/png"/>
  <Override PartName="/word/media/image2.jpeg" ContentType="image/jpeg"/>
  <Override PartName="/word/media/image4.png" ContentType="image/png"/>
  <Override PartName="/word/media/image3.png" ContentType="image/png"/>
  <Override PartName="/word/media/image9.jpeg" ContentType="image/jpeg"/>
  <Override PartName="/word/media/image5.png" ContentType="image/png"/>
  <Override PartName="/word/media/image8.jpeg" ContentType="image/jpeg"/>
  <Override PartName="/word/media/image6.png" ContentType="image/png"/>
  <Override PartName="/word/media/image10.png" ContentType="image/png"/>
  <Override PartName="/word/media/image7.png" ContentType="image/png"/>
  <Override PartName="/word/media/image11.png" ContentType="image/png"/>
  <Override PartName="/word/footer8.xml" ContentType="application/vnd.openxmlformats-officedocument.wordprocessingml.footer+xml"/>
  <Override PartName="/word/theme/theme1.xml" ContentType="application/vnd.openxmlformats-officedocument.theme+xml"/>
  <Override PartName="/word/footer9.xml" ContentType="application/vnd.openxmlformats-officedocument.wordprocessingml.foot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drawing>
          <wp:inline distT="0" distB="0" distL="0" distR="0">
            <wp:extent cx="2938145" cy="182626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2938145" cy="1826260"/>
                    </a:xfrm>
                    <a:prstGeom prst="rect">
                      <a:avLst/>
                    </a:prstGeom>
                  </pic:spPr>
                </pic:pic>
              </a:graphicData>
            </a:graphic>
          </wp:inline>
        </w:drawing>
      </w:r>
    </w:p>
    <w:p>
      <w:pPr>
        <w:pStyle w:val="Normal"/>
        <w:jc w:val="center"/>
        <w:rPr/>
      </w:pPr>
      <w:r>
        <w:rPr>
          <w:b/>
          <w:sz w:val="46"/>
        </w:rPr>
        <w:t>INTERFAZ I²C INDUSTRIAL</w:t>
        <w:br/>
        <w:t>CON AISLAMIENTO GALVÁNICO DE 3 kV RMS</w:t>
      </w:r>
    </w:p>
    <w:p>
      <w:pPr>
        <w:pStyle w:val="Normal"/>
        <w:jc w:val="center"/>
        <w:rPr/>
      </w:pPr>
      <w:r>
        <w:rPr>
          <w:sz w:val="24"/>
        </w:rPr>
        <w:t>Cinco canales I²C aislados para Raspberry Pi · alimentación de bus seleccionable a 3,3 V o 5 V</w:t>
      </w:r>
    </w:p>
    <w:tbl>
      <w:tblPr>
        <w:tblStyle w:val="TableGrid"/>
        <w:tblW w:w="10368" w:type="dxa"/>
        <w:jc w:val="center"/>
        <w:tblInd w:w="0" w:type="dxa"/>
        <w:tblLayout w:type="fixed"/>
        <w:tblCellMar>
          <w:top w:w="80" w:type="dxa"/>
          <w:left w:w="100" w:type="dxa"/>
          <w:bottom w:w="80" w:type="dxa"/>
          <w:right w:w="100" w:type="dxa"/>
        </w:tblCellMar>
        <w:tblLook w:val="04a0" w:noHBand="0" w:noVBand="1" w:firstColumn="1" w:lastRow="0" w:lastColumn="0" w:firstRow="1"/>
      </w:tblPr>
      <w:tblGrid>
        <w:gridCol w:w="5184"/>
        <w:gridCol w:w="5183"/>
      </w:tblGrid>
      <w:tr>
        <w:trPr/>
        <w:tc>
          <w:tcPr>
            <w:tcW w:w="5184" w:type="dxa"/>
            <w:tcBorders/>
            <w:shd w:fill="E7E6E6"/>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Producto</w:t>
            </w:r>
          </w:p>
        </w:tc>
        <w:tc>
          <w:tcPr>
            <w:tcW w:w="5183"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Pi_i2c_isolation_iso1640</w:t>
            </w:r>
          </w:p>
        </w:tc>
      </w:tr>
      <w:tr>
        <w:trPr/>
        <w:tc>
          <w:tcPr>
            <w:tcW w:w="5184" w:type="dxa"/>
            <w:tcBorders/>
            <w:shd w:fill="E7E6E6"/>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Revisión</w:t>
            </w:r>
          </w:p>
        </w:tc>
        <w:tc>
          <w:tcPr>
            <w:tcW w:w="5183"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1.0</w:t>
            </w:r>
          </w:p>
        </w:tc>
      </w:tr>
      <w:tr>
        <w:trPr/>
        <w:tc>
          <w:tcPr>
            <w:tcW w:w="5184" w:type="dxa"/>
            <w:tcBorders/>
            <w:shd w:fill="E7E6E6"/>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Fecha</w:t>
            </w:r>
          </w:p>
        </w:tc>
        <w:tc>
          <w:tcPr>
            <w:tcW w:w="5183"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14/07/2026</w:t>
            </w:r>
          </w:p>
        </w:tc>
      </w:tr>
      <w:tr>
        <w:trPr/>
        <w:tc>
          <w:tcPr>
            <w:tcW w:w="5184" w:type="dxa"/>
            <w:tcBorders/>
            <w:shd w:fill="E7E6E6"/>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Aislador principal</w:t>
            </w:r>
          </w:p>
        </w:tc>
        <w:tc>
          <w:tcPr>
            <w:tcW w:w="5183"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5 × Texas Instruments ISO1640BDR</w:t>
            </w:r>
          </w:p>
        </w:tc>
      </w:tr>
    </w:tbl>
    <w:p>
      <w:pPr>
        <w:pStyle w:val="Normal"/>
        <w:jc w:val="center"/>
        <w:rPr/>
      </w:pPr>
      <w:r>
        <w:rPr>
          <w:b/>
          <w:sz w:val="21"/>
        </w:rPr>
        <w:t>IMPORTANTE: la alimentación USB-C debe ser de 5 V fija, sin necesidad de negociación USB Power Delivery. No usar fuentes que solo entreguen 5 V después de negociar.</w:t>
      </w:r>
    </w:p>
    <w:p>
      <w:pPr>
        <w:pStyle w:val="Normal"/>
        <w:rPr/>
      </w:pPr>
      <w:r>
        <w:rPr/>
        <w:drawing>
          <wp:anchor behindDoc="0" distT="0" distB="0" distL="0" distR="0" simplePos="0" locked="0" layoutInCell="0" allowOverlap="1" relativeHeight="12">
            <wp:simplePos x="0" y="0"/>
            <wp:positionH relativeFrom="column">
              <wp:posOffset>741680</wp:posOffset>
            </wp:positionH>
            <wp:positionV relativeFrom="paragraph">
              <wp:posOffset>50165</wp:posOffset>
            </wp:positionV>
            <wp:extent cx="4916170" cy="3686810"/>
            <wp:effectExtent l="0" t="0" r="0" b="0"/>
            <wp:wrapSquare wrapText="largest"/>
            <wp:docPr id="2"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descr=""/>
                    <pic:cNvPicPr>
                      <a:picLocks noChangeAspect="1" noChangeArrowheads="1"/>
                    </pic:cNvPicPr>
                  </pic:nvPicPr>
                  <pic:blipFill>
                    <a:blip r:embed="rId3"/>
                    <a:stretch>
                      <a:fillRect/>
                    </a:stretch>
                  </pic:blipFill>
                  <pic:spPr bwMode="auto">
                    <a:xfrm>
                      <a:off x="0" y="0"/>
                      <a:ext cx="4916170" cy="3686810"/>
                    </a:xfrm>
                    <a:prstGeom prst="rect">
                      <a:avLst/>
                    </a:prstGeom>
                  </pic:spPr>
                </pic:pic>
              </a:graphicData>
            </a:graphic>
          </wp:anchor>
        </w:drawing>
      </w:r>
      <w:r>
        <w:br w:type="page"/>
      </w:r>
    </w:p>
    <w:p>
      <w:pPr>
        <w:pStyle w:val="Heading1"/>
        <w:spacing w:before="0" w:after="0"/>
        <w:rPr/>
      </w:pPr>
      <w:r>
        <w:rPr/>
        <w:t>1. Descripción general</w:t>
      </w:r>
    </w:p>
    <w:p>
      <w:pPr>
        <w:pStyle w:val="Normal"/>
        <w:rPr/>
      </w:pPr>
      <w:r>
        <w:rPr/>
        <w:t>Esta placa añade cinco buses I²C independientes y aislados galvánicamente a una Raspberry Pi mediante GPIO configurados por software. Cada canal dispone de líneas SDA y SCL bidireccionales, conectores Grove y bornes enchufables, protección TVS en la alimentación del lado de campo y resistencias pull-up incorporadas.</w:t>
      </w:r>
    </w:p>
    <w:tbl>
      <w:tblPr>
        <w:tblStyle w:val="TableGrid"/>
        <w:tblW w:w="10368"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5184"/>
        <w:gridCol w:w="5183"/>
      </w:tblGrid>
      <w:tr>
        <w:trPr/>
        <w:tc>
          <w:tcPr>
            <w:tcW w:w="5184" w:type="dxa"/>
            <w:tcBorders/>
            <w:shd w:fill="000000"/>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color w:val="FFFFFF"/>
                <w:kern w:val="0"/>
                <w:szCs w:val="22"/>
                <w:lang w:val="en-US" w:eastAsia="en-US" w:bidi="ar-SA"/>
              </w:rPr>
              <w:t>Característica</w:t>
            </w:r>
          </w:p>
        </w:tc>
        <w:tc>
          <w:tcPr>
            <w:tcW w:w="5183" w:type="dxa"/>
            <w:tcBorders/>
            <w:shd w:fill="000000"/>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color w:val="FFFFFF"/>
                <w:kern w:val="0"/>
                <w:szCs w:val="22"/>
                <w:lang w:val="en-US" w:eastAsia="en-US" w:bidi="ar-SA"/>
              </w:rPr>
              <w:t>Valor / descripción</w:t>
            </w:r>
          </w:p>
        </w:tc>
      </w:tr>
      <w:tr>
        <w:trPr/>
        <w:tc>
          <w:tcPr>
            <w:tcW w:w="5184" w:type="dxa"/>
            <w:tcBorders/>
            <w:tcMar>
              <w:top w:w="80" w:type="dxa"/>
              <w:left w:w="100" w:type="dxa"/>
              <w:bottom w:w="80" w:type="dxa"/>
              <w:right w:w="100" w:type="dxa"/>
            </w:tcMar>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Canales aislados</w:t>
            </w:r>
          </w:p>
        </w:tc>
        <w:tc>
          <w:tcPr>
            <w:tcW w:w="5183" w:type="dxa"/>
            <w:tcBorders/>
            <w:tcMar>
              <w:top w:w="80" w:type="dxa"/>
              <w:left w:w="100" w:type="dxa"/>
              <w:bottom w:w="80" w:type="dxa"/>
              <w:right w:w="100" w:type="dxa"/>
            </w:tcMar>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5 buses I²C independientes</w:t>
            </w:r>
          </w:p>
        </w:tc>
      </w:tr>
      <w:tr>
        <w:trPr/>
        <w:tc>
          <w:tcPr>
            <w:tcW w:w="5184" w:type="dxa"/>
            <w:tcBorders/>
            <w:tcMar>
              <w:top w:w="80" w:type="dxa"/>
              <w:left w:w="100" w:type="dxa"/>
              <w:bottom w:w="80" w:type="dxa"/>
              <w:right w:w="100" w:type="dxa"/>
            </w:tcMar>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Aislamiento del componente</w:t>
            </w:r>
          </w:p>
        </w:tc>
        <w:tc>
          <w:tcPr>
            <w:tcW w:w="5183" w:type="dxa"/>
            <w:tcBorders/>
            <w:tcMar>
              <w:top w:w="80" w:type="dxa"/>
              <w:left w:w="100" w:type="dxa"/>
              <w:bottom w:w="80" w:type="dxa"/>
              <w:right w:w="100" w:type="dxa"/>
            </w:tcMar>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3.000 V RMS para ISO1640BDR en encapsulado D de 8 pines</w:t>
            </w:r>
          </w:p>
        </w:tc>
      </w:tr>
      <w:tr>
        <w:trPr/>
        <w:tc>
          <w:tcPr>
            <w:tcW w:w="5184" w:type="dxa"/>
            <w:tcBorders/>
            <w:tcMar>
              <w:top w:w="80" w:type="dxa"/>
              <w:left w:w="100" w:type="dxa"/>
              <w:bottom w:w="80" w:type="dxa"/>
              <w:right w:w="100" w:type="dxa"/>
            </w:tcMar>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Frecuencia máxima del aislador</w:t>
            </w:r>
          </w:p>
        </w:tc>
        <w:tc>
          <w:tcPr>
            <w:tcW w:w="5183" w:type="dxa"/>
            <w:tcBorders/>
            <w:tcMar>
              <w:top w:w="80" w:type="dxa"/>
              <w:left w:w="100" w:type="dxa"/>
              <w:bottom w:w="80" w:type="dxa"/>
              <w:right w:w="100" w:type="dxa"/>
            </w:tcMar>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Hasta 1,7 MHz; la frecuencia real depende de capacitancia, cableado y pull-ups</w:t>
            </w:r>
          </w:p>
        </w:tc>
      </w:tr>
      <w:tr>
        <w:trPr/>
        <w:tc>
          <w:tcPr>
            <w:tcW w:w="5184" w:type="dxa"/>
            <w:tcBorders/>
            <w:tcMar>
              <w:top w:w="80" w:type="dxa"/>
              <w:left w:w="100" w:type="dxa"/>
              <w:bottom w:w="80" w:type="dxa"/>
              <w:right w:w="100" w:type="dxa"/>
            </w:tcMar>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Lado Raspberry Pi</w:t>
            </w:r>
          </w:p>
        </w:tc>
        <w:tc>
          <w:tcPr>
            <w:tcW w:w="5183" w:type="dxa"/>
            <w:tcBorders/>
            <w:tcMar>
              <w:top w:w="80" w:type="dxa"/>
              <w:left w:w="100" w:type="dxa"/>
              <w:bottom w:w="80" w:type="dxa"/>
              <w:right w:w="100" w:type="dxa"/>
            </w:tcMar>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3,3 V, GND_A, GPIO independientes</w:t>
            </w:r>
          </w:p>
        </w:tc>
      </w:tr>
      <w:tr>
        <w:trPr/>
        <w:tc>
          <w:tcPr>
            <w:tcW w:w="5184" w:type="dxa"/>
            <w:tcBorders/>
            <w:tcMar>
              <w:top w:w="80" w:type="dxa"/>
              <w:left w:w="100" w:type="dxa"/>
              <w:bottom w:w="80" w:type="dxa"/>
              <w:right w:w="100" w:type="dxa"/>
            </w:tcMar>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Lado de campo</w:t>
            </w:r>
          </w:p>
        </w:tc>
        <w:tc>
          <w:tcPr>
            <w:tcW w:w="5183" w:type="dxa"/>
            <w:tcBorders/>
            <w:tcMar>
              <w:top w:w="80" w:type="dxa"/>
              <w:left w:w="100" w:type="dxa"/>
              <w:bottom w:w="80" w:type="dxa"/>
              <w:right w:w="100" w:type="dxa"/>
            </w:tcMar>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GND_B aislado, alimentación seleccionable 3,3 V / 5 V</w:t>
            </w:r>
          </w:p>
        </w:tc>
      </w:tr>
      <w:tr>
        <w:trPr/>
        <w:tc>
          <w:tcPr>
            <w:tcW w:w="5184" w:type="dxa"/>
            <w:tcBorders/>
            <w:tcMar>
              <w:top w:w="80" w:type="dxa"/>
              <w:left w:w="100" w:type="dxa"/>
              <w:bottom w:w="80" w:type="dxa"/>
              <w:right w:w="100" w:type="dxa"/>
            </w:tcMar>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Entrada de alimentación</w:t>
            </w:r>
          </w:p>
        </w:tc>
        <w:tc>
          <w:tcPr>
            <w:tcW w:w="5183" w:type="dxa"/>
            <w:tcBorders/>
            <w:tcMar>
              <w:top w:w="80" w:type="dxa"/>
              <w:left w:w="100" w:type="dxa"/>
              <w:bottom w:w="80" w:type="dxa"/>
              <w:right w:w="100" w:type="dxa"/>
            </w:tcMar>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5 V CC por USB-C o borna de 2 polos</w:t>
            </w:r>
          </w:p>
        </w:tc>
      </w:tr>
      <w:tr>
        <w:trPr/>
        <w:tc>
          <w:tcPr>
            <w:tcW w:w="5184" w:type="dxa"/>
            <w:tcBorders/>
            <w:tcMar>
              <w:top w:w="80" w:type="dxa"/>
              <w:left w:w="100" w:type="dxa"/>
              <w:bottom w:w="80" w:type="dxa"/>
              <w:right w:w="100" w:type="dxa"/>
            </w:tcMar>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Corriente máxima indicada</w:t>
            </w:r>
          </w:p>
        </w:tc>
        <w:tc>
          <w:tcPr>
            <w:tcW w:w="5183" w:type="dxa"/>
            <w:tcBorders/>
            <w:tcMar>
              <w:top w:w="80" w:type="dxa"/>
              <w:left w:w="100" w:type="dxa"/>
              <w:bottom w:w="80" w:type="dxa"/>
              <w:right w:w="100" w:type="dxa"/>
            </w:tcMar>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3,3 V: 1 A total máximo. 5 V: 2 A total máximo</w:t>
            </w:r>
          </w:p>
        </w:tc>
      </w:tr>
      <w:tr>
        <w:trPr/>
        <w:tc>
          <w:tcPr>
            <w:tcW w:w="5184" w:type="dxa"/>
            <w:tcBorders/>
            <w:tcMar>
              <w:top w:w="80" w:type="dxa"/>
              <w:left w:w="100" w:type="dxa"/>
              <w:bottom w:w="80" w:type="dxa"/>
              <w:right w:w="100" w:type="dxa"/>
            </w:tcMar>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Fusible</w:t>
            </w:r>
          </w:p>
        </w:tc>
        <w:tc>
          <w:tcPr>
            <w:tcW w:w="5183" w:type="dxa"/>
            <w:tcBorders/>
            <w:tcMar>
              <w:top w:w="80" w:type="dxa"/>
              <w:left w:w="100" w:type="dxa"/>
              <w:bottom w:w="80" w:type="dxa"/>
              <w:right w:w="100" w:type="dxa"/>
            </w:tcMar>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PTC rearmable BSMD2920-200-16V, corriente de mantenimiento nominal 2 A, tensión máxima 16 V</w:t>
            </w:r>
          </w:p>
        </w:tc>
      </w:tr>
      <w:tr>
        <w:trPr/>
        <w:tc>
          <w:tcPr>
            <w:tcW w:w="5184" w:type="dxa"/>
            <w:tcBorders/>
            <w:tcMar>
              <w:top w:w="80" w:type="dxa"/>
              <w:left w:w="100" w:type="dxa"/>
              <w:bottom w:w="80" w:type="dxa"/>
              <w:right w:w="100" w:type="dxa"/>
            </w:tcMar>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EEPROM</w:t>
            </w:r>
          </w:p>
        </w:tc>
        <w:tc>
          <w:tcPr>
            <w:tcW w:w="5183" w:type="dxa"/>
            <w:tcBorders/>
            <w:tcMar>
              <w:top w:w="80" w:type="dxa"/>
              <w:left w:w="100" w:type="dxa"/>
              <w:bottom w:w="80" w:type="dxa"/>
              <w:right w:w="100" w:type="dxa"/>
            </w:tcMar>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AT24C256C conectada al canal 5</w:t>
            </w:r>
          </w:p>
        </w:tc>
      </w:tr>
    </w:tbl>
    <w:p>
      <w:pPr>
        <w:pStyle w:val="Heading1"/>
        <w:rPr/>
      </w:pPr>
      <w:r>
        <w:rPr/>
        <w:t>2. Límites eléctricos y seguridad</w:t>
      </w:r>
    </w:p>
    <w:p>
      <w:pPr>
        <w:pStyle w:val="ListBullet"/>
        <w:numPr>
          <w:ilvl w:val="0"/>
          <w:numId w:val="1"/>
        </w:numPr>
        <w:rPr/>
      </w:pPr>
      <w:r>
        <w:rPr/>
        <w:t>No superar 1 A de consumo total en la salida de 3,3 V.</w:t>
      </w:r>
    </w:p>
    <w:p>
      <w:pPr>
        <w:pStyle w:val="ListBullet"/>
        <w:numPr>
          <w:ilvl w:val="0"/>
          <w:numId w:val="1"/>
        </w:numPr>
        <w:rPr/>
      </w:pPr>
      <w:r>
        <w:rPr/>
        <w:t>No superar 2 A de consumo total en la salida de 5 V. Esta corriente incluye todos los equipos alimentados desde los cinco conectores.</w:t>
      </w:r>
    </w:p>
    <w:p>
      <w:pPr>
        <w:pStyle w:val="ListBullet"/>
        <w:numPr>
          <w:ilvl w:val="0"/>
          <w:numId w:val="1"/>
        </w:numPr>
        <w:rPr/>
      </w:pPr>
      <w:r>
        <w:rPr/>
        <w:t>El fusible PTC es rearmable y protege frente a sobrecorriente, pero su corriente de disparo cambia con la temperatura. No debe usarse como regulador ni como limitador de precisión.</w:t>
      </w:r>
    </w:p>
    <w:p>
      <w:pPr>
        <w:pStyle w:val="ListBullet"/>
        <w:numPr>
          <w:ilvl w:val="0"/>
          <w:numId w:val="1"/>
        </w:numPr>
        <w:rPr/>
      </w:pPr>
      <w:r>
        <w:rPr/>
        <w:t>La placa necesita una alimentación de 5 V regulada. No aplicar 9 V, 12 V, 15 V o 20 V al USB-C ni a la borna.</w:t>
      </w:r>
    </w:p>
    <w:p>
      <w:pPr>
        <w:pStyle w:val="ListBullet"/>
        <w:numPr>
          <w:ilvl w:val="0"/>
          <w:numId w:val="1"/>
        </w:numPr>
        <w:rPr/>
      </w:pPr>
      <w:r>
        <w:rPr/>
        <w:t>La cifra de 3 kV RMS corresponde al componente ISO1640BDR. La tensión de aislamiento segura del equipo completo también depende del PCB, conectores, suciedad, humedad, caja, montaje y normas aplicables.</w:t>
      </w:r>
    </w:p>
    <w:p>
      <w:pPr>
        <w:pStyle w:val="ListBullet"/>
        <w:numPr>
          <w:ilvl w:val="0"/>
          <w:numId w:val="1"/>
        </w:numPr>
        <w:rPr/>
      </w:pPr>
      <w:r>
        <w:rPr/>
        <w:t>GND_A y GND_B deben permanecer separados. Unirlos externamente elimina el aislamiento galvánico.</w:t>
      </w:r>
    </w:p>
    <w:p>
      <w:pPr>
        <w:pStyle w:val="Heading1"/>
        <w:rPr/>
      </w:pPr>
      <w:r>
        <w:rPr/>
        <w:t>3. Propiedades del ISO1640B</w:t>
      </w:r>
    </w:p>
    <w:p>
      <w:pPr>
        <w:pStyle w:val="Normal"/>
        <w:rPr/>
      </w:pPr>
      <w:r>
        <w:rPr/>
        <w:t>Cada canal se basa en un ISO1640B, aislador I²C bidireccional con reloj y datos bidireccionales. El dispositivo separa internamente las señales I²C en caminos aislados y mantiene salidas de drenador abierto compatibles con el bus.</w:t>
      </w:r>
    </w:p>
    <w:tbl>
      <w:tblPr>
        <w:tblStyle w:val="TableGrid"/>
        <w:tblW w:w="10368"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5184"/>
        <w:gridCol w:w="5183"/>
      </w:tblGrid>
      <w:tr>
        <w:trPr/>
        <w:tc>
          <w:tcPr>
            <w:tcW w:w="5184" w:type="dxa"/>
            <w:tcBorders/>
            <w:shd w:fill="000000"/>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color w:val="FFFFFF"/>
                <w:kern w:val="0"/>
                <w:szCs w:val="22"/>
                <w:lang w:val="en-US" w:eastAsia="en-US" w:bidi="ar-SA"/>
              </w:rPr>
              <w:t>Propiedad</w:t>
            </w:r>
          </w:p>
        </w:tc>
        <w:tc>
          <w:tcPr>
            <w:tcW w:w="5183" w:type="dxa"/>
            <w:tcBorders/>
            <w:shd w:fill="000000"/>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color w:val="FFFFFF"/>
                <w:kern w:val="0"/>
                <w:szCs w:val="22"/>
                <w:lang w:val="en-US" w:eastAsia="en-US" w:bidi="ar-SA"/>
              </w:rPr>
              <w:t>Detalle</w:t>
            </w:r>
          </w:p>
        </w:tc>
      </w:tr>
      <w:tr>
        <w:trPr/>
        <w:tc>
          <w:tcPr>
            <w:tcW w:w="5184"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Aislamiento nominal</w:t>
            </w:r>
          </w:p>
        </w:tc>
        <w:tc>
          <w:tcPr>
            <w:tcW w:w="5183"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3.000 V RMS / 4.242 V pico para encapsulado D de 8 pines.</w:t>
            </w:r>
          </w:p>
        </w:tc>
      </w:tr>
      <w:tr>
        <w:trPr/>
        <w:tc>
          <w:tcPr>
            <w:tcW w:w="5184"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Canales</w:t>
            </w:r>
          </w:p>
        </w:tc>
        <w:tc>
          <w:tcPr>
            <w:tcW w:w="5183"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SDA bidireccional y SCL bidireccional.</w:t>
            </w:r>
          </w:p>
        </w:tc>
      </w:tr>
      <w:tr>
        <w:trPr/>
        <w:tc>
          <w:tcPr>
            <w:tcW w:w="5184"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Velocidad</w:t>
            </w:r>
          </w:p>
        </w:tc>
        <w:tc>
          <w:tcPr>
            <w:tcW w:w="5183"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Hasta 1,7 MHz, condicionada por la constante RC del bus.</w:t>
            </w:r>
          </w:p>
        </w:tc>
      </w:tr>
      <w:tr>
        <w:trPr/>
        <w:tc>
          <w:tcPr>
            <w:tcW w:w="5184"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Tensiones recomendadas</w:t>
            </w:r>
          </w:p>
        </w:tc>
        <w:tc>
          <w:tcPr>
            <w:tcW w:w="5183"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VCC1: 3,0 a 5,5 V. VCC2: 2,25 a 5,5 V.</w:t>
            </w:r>
          </w:p>
        </w:tc>
      </w:tr>
      <w:tr>
        <w:trPr/>
        <w:tc>
          <w:tcPr>
            <w:tcW w:w="5184"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Capacitancia de bus</w:t>
            </w:r>
          </w:p>
        </w:tc>
        <w:tc>
          <w:tcPr>
            <w:tcW w:w="5183"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Lado 1 hasta 80 pF; lado 2 hasta 400 pF.</w:t>
            </w:r>
          </w:p>
        </w:tc>
      </w:tr>
      <w:tr>
        <w:trPr/>
        <w:tc>
          <w:tcPr>
            <w:tcW w:w="5184"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Hot-swap</w:t>
            </w:r>
          </w:p>
        </w:tc>
        <w:tc>
          <w:tcPr>
            <w:tcW w:w="5183"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El lado 2 evita cargar el bus mientras está sin alimentar o arrancando.</w:t>
            </w:r>
          </w:p>
        </w:tc>
      </w:tr>
      <w:tr>
        <w:trPr/>
        <w:tc>
          <w:tcPr>
            <w:tcW w:w="5184"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Protecciones</w:t>
            </w:r>
          </w:p>
        </w:tc>
        <w:tc>
          <w:tcPr>
            <w:tcW w:w="5183"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Protección ESD mejorada, protección ante cortocircuito fuerte en el lado 2 y apagado térmico.</w:t>
            </w:r>
          </w:p>
        </w:tc>
      </w:tr>
      <w:tr>
        <w:trPr/>
        <w:tc>
          <w:tcPr>
            <w:tcW w:w="5184"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Tecnología</w:t>
            </w:r>
          </w:p>
        </w:tc>
        <w:tc>
          <w:tcPr>
            <w:tcW w:w="5183"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Barrera capacitiva de dióxido de silicio (SiO₂), con alta inmunidad electromagnética y bajas emisiones.</w:t>
            </w:r>
          </w:p>
        </w:tc>
      </w:tr>
    </w:tbl>
    <w:p>
      <w:pPr>
        <w:pStyle w:val="Heading1"/>
        <w:rPr/>
      </w:pPr>
      <w:r>
        <w:rPr/>
        <w:t>4. Asignación de buses I²C en Raspberry Pi</w:t>
      </w:r>
    </w:p>
    <w:tbl>
      <w:tblPr>
        <w:tblStyle w:val="TableGrid"/>
        <w:tblW w:w="10368"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592"/>
        <w:gridCol w:w="2592"/>
        <w:gridCol w:w="2595"/>
        <w:gridCol w:w="2588"/>
      </w:tblGrid>
      <w:tr>
        <w:trPr/>
        <w:tc>
          <w:tcPr>
            <w:tcW w:w="2592" w:type="dxa"/>
            <w:tcBorders/>
            <w:shd w:fill="000000"/>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color w:val="FFFFFF"/>
                <w:kern w:val="0"/>
                <w:szCs w:val="22"/>
                <w:lang w:val="en-US" w:eastAsia="en-US" w:bidi="ar-SA"/>
              </w:rPr>
              <w:t>Canal</w:t>
            </w:r>
          </w:p>
        </w:tc>
        <w:tc>
          <w:tcPr>
            <w:tcW w:w="2592" w:type="dxa"/>
            <w:tcBorders/>
            <w:shd w:fill="000000"/>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color w:val="FFFFFF"/>
                <w:kern w:val="0"/>
                <w:szCs w:val="22"/>
                <w:lang w:val="en-US" w:eastAsia="en-US" w:bidi="ar-SA"/>
              </w:rPr>
              <w:t>Bus Linux</w:t>
            </w:r>
          </w:p>
        </w:tc>
        <w:tc>
          <w:tcPr>
            <w:tcW w:w="2595" w:type="dxa"/>
            <w:tcBorders/>
            <w:shd w:fill="000000"/>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color w:val="FFFFFF"/>
                <w:kern w:val="0"/>
                <w:szCs w:val="22"/>
                <w:lang w:val="en-US" w:eastAsia="en-US" w:bidi="ar-SA"/>
              </w:rPr>
              <w:t>SDA (GPIO)</w:t>
            </w:r>
          </w:p>
        </w:tc>
        <w:tc>
          <w:tcPr>
            <w:tcW w:w="2588" w:type="dxa"/>
            <w:tcBorders/>
            <w:shd w:fill="000000"/>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color w:val="FFFFFF"/>
                <w:kern w:val="0"/>
                <w:szCs w:val="22"/>
                <w:lang w:val="en-US" w:eastAsia="en-US" w:bidi="ar-SA"/>
              </w:rPr>
              <w:t>SCL (GPIO)</w:t>
            </w:r>
          </w:p>
        </w:tc>
      </w:tr>
      <w:tr>
        <w:trPr/>
        <w:tc>
          <w:tcPr>
            <w:tcW w:w="2592"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1</w:t>
            </w:r>
          </w:p>
        </w:tc>
        <w:tc>
          <w:tcPr>
            <w:tcW w:w="2592"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3</w:t>
            </w:r>
          </w:p>
        </w:tc>
        <w:tc>
          <w:tcPr>
            <w:tcW w:w="2595"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18</w:t>
            </w:r>
          </w:p>
        </w:tc>
        <w:tc>
          <w:tcPr>
            <w:tcW w:w="2588"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23</w:t>
            </w:r>
          </w:p>
        </w:tc>
      </w:tr>
      <w:tr>
        <w:trPr/>
        <w:tc>
          <w:tcPr>
            <w:tcW w:w="2592"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2</w:t>
            </w:r>
          </w:p>
        </w:tc>
        <w:tc>
          <w:tcPr>
            <w:tcW w:w="2592"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4</w:t>
            </w:r>
          </w:p>
        </w:tc>
        <w:tc>
          <w:tcPr>
            <w:tcW w:w="2595"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24</w:t>
            </w:r>
          </w:p>
        </w:tc>
        <w:tc>
          <w:tcPr>
            <w:tcW w:w="2588"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25</w:t>
            </w:r>
          </w:p>
        </w:tc>
      </w:tr>
      <w:tr>
        <w:trPr/>
        <w:tc>
          <w:tcPr>
            <w:tcW w:w="2592"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3</w:t>
            </w:r>
          </w:p>
        </w:tc>
        <w:tc>
          <w:tcPr>
            <w:tcW w:w="2592"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5</w:t>
            </w:r>
          </w:p>
        </w:tc>
        <w:tc>
          <w:tcPr>
            <w:tcW w:w="2595"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8</w:t>
            </w:r>
          </w:p>
        </w:tc>
        <w:tc>
          <w:tcPr>
            <w:tcW w:w="2588"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7</w:t>
            </w:r>
          </w:p>
        </w:tc>
      </w:tr>
      <w:tr>
        <w:trPr/>
        <w:tc>
          <w:tcPr>
            <w:tcW w:w="2592"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4</w:t>
            </w:r>
          </w:p>
        </w:tc>
        <w:tc>
          <w:tcPr>
            <w:tcW w:w="2592"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6</w:t>
            </w:r>
          </w:p>
        </w:tc>
        <w:tc>
          <w:tcPr>
            <w:tcW w:w="2595"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12</w:t>
            </w:r>
          </w:p>
        </w:tc>
        <w:tc>
          <w:tcPr>
            <w:tcW w:w="2588"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16</w:t>
            </w:r>
          </w:p>
        </w:tc>
      </w:tr>
      <w:tr>
        <w:trPr/>
        <w:tc>
          <w:tcPr>
            <w:tcW w:w="2592"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5</w:t>
            </w:r>
          </w:p>
        </w:tc>
        <w:tc>
          <w:tcPr>
            <w:tcW w:w="2592"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7</w:t>
            </w:r>
          </w:p>
        </w:tc>
        <w:tc>
          <w:tcPr>
            <w:tcW w:w="2595"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20</w:t>
            </w:r>
          </w:p>
        </w:tc>
        <w:tc>
          <w:tcPr>
            <w:tcW w:w="2588"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21</w:t>
            </w:r>
          </w:p>
        </w:tc>
      </w:tr>
    </w:tbl>
    <w:p>
      <w:pPr>
        <w:pStyle w:val="Heading1"/>
        <w:rPr/>
      </w:pPr>
      <w:r>
        <w:rPr/>
        <w:t>5. Configuración de /boot/firmware/config.txt</w:t>
      </w:r>
    </w:p>
    <w:p>
      <w:pPr>
        <w:pStyle w:val="Normal"/>
        <w:rPr/>
      </w:pPr>
      <w:r>
        <w:rPr/>
        <w:t>Añadir exactamente estas líneas al final del archivo config.txt y reiniciar la Raspberry Pi:</w:t>
      </w:r>
    </w:p>
    <w:p>
      <w:pPr>
        <w:pStyle w:val="Normal"/>
        <w:ind w:left="360"/>
        <w:rPr/>
      </w:pPr>
      <w:r>
        <w:rPr>
          <w:rFonts w:ascii="Liberation Mono" w:hAnsi="Liberation Mono"/>
          <w:sz w:val="17"/>
        </w:rPr>
        <w:t>dtoverlay=i2c-gpio,bus=7,i2c_gpio_delay_us=10,i2c_gpio_sda=20,i2c_gpio_scl=21</w:t>
        <w:br/>
        <w:t>dtoverlay=i2c-gpio,bus=6,i2c_gpio_delay_us=10,i2c_gpio_sda=12,i2c_gpio_scl=16</w:t>
        <w:br/>
        <w:t>dtoverlay=i2c-gpio,bus=5,i2c_gpio_delay_us=10,i2c_gpio_sda=8,i2c_gpio_scl=7</w:t>
        <w:br/>
        <w:t>dtoverlay=i2c-gpio,bus=4,i2c_gpio_delay_us=10,i2c_gpio_sda=24,i2c_gpio_scl=25</w:t>
        <w:br/>
        <w:t>dtoverlay=i2c-gpio,bus=3,i2c_gpio_delay_us=10,i2c_gpio_sda=18,i2c_gpio_scl=23</w:t>
      </w:r>
    </w:p>
    <w:p>
      <w:pPr>
        <w:pStyle w:val="Normal"/>
        <w:rPr/>
      </w:pPr>
      <w:r>
        <w:rPr/>
        <w:t>Después del reinicio deben aparecer /dev/i2c-3, /dev/i2c-4, /dev/i2c-5, /dev/i2c-6 y /dev/i2c-7. Se pueden comprobar con ls /dev/i2c-* e i2cdetect -y N.</w:t>
      </w:r>
    </w:p>
    <w:p>
      <w:pPr>
        <w:pStyle w:val="Heading1"/>
        <w:rPr/>
      </w:pPr>
      <w:r>
        <w:rPr/>
        <w:t>6. Colocación de los jumpers</w:t>
      </w:r>
    </w:p>
    <w:p>
      <w:pPr>
        <w:pStyle w:val="Normal"/>
        <w:rPr/>
      </w:pPr>
      <w:r>
        <w:rPr/>
        <w:t>Los dos cabezales de tres pines seleccionan la tensión del lado aislado. Siempre se coloca un solo puente entre el pin central y uno de los extremos. Nunca unir los dos extremos a la vez.</w:t>
      </w:r>
    </w:p>
    <w:tbl>
      <w:tblPr>
        <w:tblStyle w:val="TableGrid"/>
        <w:tblW w:w="10368"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592"/>
        <w:gridCol w:w="2592"/>
        <w:gridCol w:w="2595"/>
        <w:gridCol w:w="2588"/>
      </w:tblGrid>
      <w:tr>
        <w:trPr/>
        <w:tc>
          <w:tcPr>
            <w:tcW w:w="2592" w:type="dxa"/>
            <w:tcBorders/>
            <w:shd w:fill="000000"/>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color w:val="FFFFFF"/>
                <w:kern w:val="0"/>
                <w:szCs w:val="22"/>
                <w:lang w:val="en-US" w:eastAsia="en-US" w:bidi="ar-SA"/>
              </w:rPr>
              <w:t>Serigrafía</w:t>
            </w:r>
          </w:p>
        </w:tc>
        <w:tc>
          <w:tcPr>
            <w:tcW w:w="2592" w:type="dxa"/>
            <w:tcBorders/>
            <w:shd w:fill="000000"/>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color w:val="FFFFFF"/>
                <w:kern w:val="0"/>
                <w:szCs w:val="22"/>
                <w:lang w:val="en-US" w:eastAsia="en-US" w:bidi="ar-SA"/>
              </w:rPr>
              <w:t>Función eléctrica según esquema</w:t>
            </w:r>
          </w:p>
        </w:tc>
        <w:tc>
          <w:tcPr>
            <w:tcW w:w="2595" w:type="dxa"/>
            <w:tcBorders/>
            <w:shd w:fill="000000"/>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color w:val="FFFFFF"/>
                <w:kern w:val="0"/>
                <w:szCs w:val="22"/>
                <w:lang w:val="en-US" w:eastAsia="en-US" w:bidi="ar-SA"/>
              </w:rPr>
              <w:t>Puente 1-2</w:t>
            </w:r>
          </w:p>
        </w:tc>
        <w:tc>
          <w:tcPr>
            <w:tcW w:w="2588" w:type="dxa"/>
            <w:tcBorders/>
            <w:shd w:fill="000000"/>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color w:val="FFFFFF"/>
                <w:kern w:val="0"/>
                <w:szCs w:val="22"/>
                <w:lang w:val="en-US" w:eastAsia="en-US" w:bidi="ar-SA"/>
              </w:rPr>
              <w:t>Puente 2-3</w:t>
            </w:r>
          </w:p>
        </w:tc>
      </w:tr>
      <w:tr>
        <w:trPr/>
        <w:tc>
          <w:tcPr>
            <w:tcW w:w="2592"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PULL_UP</w:t>
            </w:r>
          </w:p>
        </w:tc>
        <w:tc>
          <w:tcPr>
            <w:tcW w:w="2592"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Selecciona la tensión de las resistencias pull-up SDA/SCL del lado aislado</w:t>
            </w:r>
          </w:p>
        </w:tc>
        <w:tc>
          <w:tcPr>
            <w:tcW w:w="2595"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Pull-ups a 5 V</w:t>
            </w:r>
          </w:p>
        </w:tc>
        <w:tc>
          <w:tcPr>
            <w:tcW w:w="2588"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Pull-ups a 3,3 V</w:t>
            </w:r>
          </w:p>
        </w:tc>
      </w:tr>
      <w:tr>
        <w:trPr/>
        <w:tc>
          <w:tcPr>
            <w:tcW w:w="2592"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BUS_PW</w:t>
            </w:r>
          </w:p>
        </w:tc>
        <w:tc>
          <w:tcPr>
            <w:tcW w:w="2592"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Selecciona la tensión presente en el pin de alimentación de los conectores de campo</w:t>
            </w:r>
          </w:p>
        </w:tc>
        <w:tc>
          <w:tcPr>
            <w:tcW w:w="2595"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Bus alimentado a 5 V</w:t>
            </w:r>
          </w:p>
        </w:tc>
        <w:tc>
          <w:tcPr>
            <w:tcW w:w="2588" w:type="dxa"/>
            <w:tcBorders/>
          </w:tcPr>
          <w:p>
            <w:pPr>
              <w:pStyle w:val="Normal"/>
              <w:widowControl/>
              <w:suppressAutoHyphens w:val="true"/>
              <w:spacing w:lineRule="auto" w:line="240" w:before="0" w:after="0"/>
              <w:jc w:val="left"/>
              <w:rPr>
                <w:rFonts w:eastAsia="ＭＳ 明朝" w:cs=""/>
                <w:kern w:val="0"/>
                <w:szCs w:val="22"/>
                <w:lang w:val="en-US" w:eastAsia="en-US" w:bidi="ar-SA"/>
              </w:rPr>
            </w:pPr>
            <w:r>
              <w:rPr>
                <w:rFonts w:eastAsia="ＭＳ 明朝" w:cs=""/>
                <w:kern w:val="0"/>
                <w:szCs w:val="22"/>
                <w:lang w:val="en-US" w:eastAsia="en-US" w:bidi="ar-SA"/>
              </w:rPr>
              <w:t>Bus alimentado a 3,3 V</w:t>
            </w:r>
          </w:p>
        </w:tc>
      </w:tr>
    </w:tbl>
    <w:p>
      <w:pPr>
        <w:pStyle w:val="Heading2"/>
        <w:rPr/>
      </w:pPr>
      <w:r>
        <w:rPr/>
        <w:t>Configuraciones recomendadas</w:t>
      </w:r>
    </w:p>
    <w:p>
      <w:pPr>
        <w:pStyle w:val="ListBullet"/>
        <w:numPr>
          <w:ilvl w:val="0"/>
          <w:numId w:val="1"/>
        </w:numPr>
        <w:rPr/>
      </w:pPr>
      <w:r>
        <w:rPr/>
        <w:t>Equipos I²C de 3,3 V: ambos jumpers en posición 3,3 V (puente 2-3).</w:t>
      </w:r>
    </w:p>
    <w:p>
      <w:pPr>
        <w:pStyle w:val="ListBullet"/>
        <w:numPr>
          <w:ilvl w:val="0"/>
          <w:numId w:val="1"/>
        </w:numPr>
        <w:rPr/>
      </w:pPr>
      <w:r>
        <w:rPr/>
        <w:t>Equipos I²C de 5 V: ambos jumpers en posición 5 V (puente 1-2), solo si todos los dispositivos del lado aislado admiten 5 V.</w:t>
      </w:r>
    </w:p>
    <w:p>
      <w:pPr>
        <w:pStyle w:val="ListBullet"/>
        <w:numPr>
          <w:ilvl w:val="0"/>
          <w:numId w:val="1"/>
        </w:numPr>
        <w:rPr/>
      </w:pPr>
      <w:r>
        <w:rPr/>
        <w:t>Alimentación y pull-ups pueden seleccionarse por separado, pero usar tensiones distintas solo cuando el equipo conectado lo permita expresamente.</w:t>
      </w:r>
    </w:p>
    <w:p>
      <w:pPr>
        <w:pStyle w:val="Heading1"/>
        <w:rPr/>
      </w:pPr>
      <w:r>
        <w:rPr/>
        <w:t>7. C</w:t>
      </w:r>
      <w:r>
        <w:rPr/>
        <w:t>ontenido del paquete</w:t>
      </w:r>
    </w:p>
    <w:p>
      <w:pPr>
        <w:pStyle w:val="Normal"/>
        <w:numPr>
          <w:ilvl w:val="0"/>
          <w:numId w:val="8"/>
        </w:numPr>
        <w:rPr/>
      </w:pPr>
      <w:r>
        <w:rPr/>
        <w:t xml:space="preserve">Placa </w:t>
      </w:r>
      <w:r>
        <w:rPr>
          <w:rFonts w:eastAsia="ＭＳ 明朝" w:cs=""/>
          <w:kern w:val="0"/>
          <w:szCs w:val="22"/>
          <w:lang w:val="en-US" w:eastAsia="en-US" w:bidi="ar-SA"/>
        </w:rPr>
        <w:t>Pi_i2c_isolation_iso1640.</w:t>
      </w:r>
    </w:p>
    <w:p>
      <w:pPr>
        <w:pStyle w:val="Normal"/>
        <w:numPr>
          <w:ilvl w:val="0"/>
          <w:numId w:val="8"/>
        </w:numPr>
        <w:rPr/>
      </w:pPr>
      <w:r>
        <w:rPr>
          <w:rFonts w:eastAsia="ＭＳ 明朝" w:cs=""/>
          <w:kern w:val="0"/>
          <w:szCs w:val="22"/>
          <w:lang w:val="en-US" w:eastAsia="en-US" w:bidi="ar-SA"/>
        </w:rPr>
        <w:t>Conector 4 vias i2c de presion (5 unidades).</w:t>
      </w:r>
    </w:p>
    <w:p>
      <w:pPr>
        <w:pStyle w:val="Normal"/>
        <w:numPr>
          <w:ilvl w:val="0"/>
          <w:numId w:val="8"/>
        </w:numPr>
        <w:rPr/>
      </w:pPr>
      <w:r>
        <w:rPr>
          <w:rFonts w:eastAsia="ＭＳ 明朝" w:cs=""/>
          <w:kern w:val="0"/>
          <w:szCs w:val="22"/>
          <w:lang w:val="en-US" w:eastAsia="en-US" w:bidi="ar-SA"/>
        </w:rPr>
        <w:t>Conector 2 vias alientacion (1 unidad).</w:t>
      </w:r>
    </w:p>
    <w:p>
      <w:pPr>
        <w:pStyle w:val="Normal"/>
        <w:numPr>
          <w:ilvl w:val="0"/>
          <w:numId w:val="8"/>
        </w:numPr>
        <w:rPr/>
      </w:pPr>
      <w:r>
        <w:rPr>
          <w:rFonts w:eastAsia="ＭＳ 明朝" w:cs=""/>
          <w:kern w:val="0"/>
          <w:szCs w:val="22"/>
          <w:lang w:val="en-US" w:eastAsia="en-US" w:bidi="ar-SA"/>
        </w:rPr>
        <w:t>Tornillos m2.5 x 6 (12 unidades).</w:t>
      </w:r>
    </w:p>
    <w:p>
      <w:pPr>
        <w:pStyle w:val="Normal"/>
        <w:numPr>
          <w:ilvl w:val="0"/>
          <w:numId w:val="8"/>
        </w:numPr>
        <w:rPr/>
      </w:pPr>
      <w:r>
        <w:rPr>
          <w:rFonts w:eastAsia="ＭＳ 明朝" w:cs=""/>
          <w:kern w:val="0"/>
          <w:szCs w:val="22"/>
          <w:lang w:val="en-US" w:eastAsia="en-US" w:bidi="ar-SA"/>
        </w:rPr>
        <w:t>Separador roscado M2.5x10mm (4 unidades).</w:t>
      </w:r>
    </w:p>
    <w:p>
      <w:pPr>
        <w:pStyle w:val="Normal"/>
        <w:numPr>
          <w:ilvl w:val="0"/>
          <w:numId w:val="8"/>
        </w:numPr>
        <w:rPr/>
      </w:pPr>
      <w:r>
        <w:rPr>
          <w:rFonts w:eastAsia="ＭＳ 明朝" w:cs=""/>
          <w:kern w:val="0"/>
          <w:szCs w:val="22"/>
          <w:lang w:val="en-US" w:eastAsia="en-US" w:bidi="ar-SA"/>
        </w:rPr>
        <w:t>Separador roscado M2.5x15mm (2 unidades).</w:t>
      </w:r>
    </w:p>
    <w:p>
      <w:pPr>
        <w:pStyle w:val="Heading1"/>
        <w:rPr/>
      </w:pPr>
      <w:r>
        <w:rPr/>
      </w:r>
    </w:p>
    <w:p>
      <w:pPr>
        <w:pStyle w:val="Heading1"/>
        <w:rPr/>
      </w:pPr>
      <w:r>
        <w:rPr/>
      </w:r>
    </w:p>
    <w:p>
      <w:pPr>
        <w:pStyle w:val="Heading1"/>
        <w:rPr/>
      </w:pPr>
      <w:r>
        <w:rPr/>
        <w:t>8. Alimentación USB-C</w:t>
      </w:r>
    </w:p>
    <w:p>
      <w:pPr>
        <w:pStyle w:val="Normal"/>
        <w:rPr/>
      </w:pPr>
      <w:r>
        <w:rPr/>
        <w:t>El conector USB-C se usa únicamente como entrada de 5 V. La placa no implementa USB Power Delivery ni solicita tensiones superiores. Debe usarse una fuente que entregue 5 V directamente al detectar una carga USB-C estándar.</w:t>
      </w:r>
    </w:p>
    <w:p>
      <w:pPr>
        <w:pStyle w:val="ListBullet"/>
        <w:numPr>
          <w:ilvl w:val="0"/>
          <w:numId w:val="1"/>
        </w:numPr>
        <w:rPr/>
      </w:pPr>
      <w:r>
        <w:rPr/>
        <w:t>Fuente recomendada: 5 V regulados, con corriente suficiente para la placa y todos los dispositivos conectados.</w:t>
      </w:r>
    </w:p>
    <w:p>
      <w:pPr>
        <w:pStyle w:val="ListBullet"/>
        <w:numPr>
          <w:ilvl w:val="0"/>
          <w:numId w:val="1"/>
        </w:numPr>
        <w:rPr/>
      </w:pPr>
      <w:r>
        <w:rPr/>
        <w:t>No usar cargadores que requieran negociación propietaria para habilitar la salida.</w:t>
      </w:r>
    </w:p>
    <w:p>
      <w:pPr>
        <w:pStyle w:val="ListBullet"/>
        <w:numPr>
          <w:ilvl w:val="0"/>
          <w:numId w:val="1"/>
        </w:numPr>
        <w:rPr/>
      </w:pPr>
      <w:r>
        <w:rPr/>
        <w:t>No conectar al mismo tiempo USB-C y la borna de 5 V salvo que se garantice que ambas entradas son exactamente la misma fuente y no existe retorno de corriente.</w:t>
      </w:r>
    </w:p>
    <w:p>
      <w:pPr>
        <w:pStyle w:val="ListBullet"/>
        <w:numPr>
          <w:ilvl w:val="0"/>
          <w:numId w:val="1"/>
        </w:numPr>
        <w:rPr/>
      </w:pPr>
      <w:r>
        <w:rPr/>
        <w:t>Respetar la polaridad de la borna de entrada: +5 V y GND_B.</w:t>
      </w:r>
    </w:p>
    <w:p>
      <w:pPr>
        <w:pStyle w:val="Heading1"/>
        <w:rPr/>
      </w:pPr>
      <w:r>
        <w:rPr/>
        <w:t>9. Plano mecánico y agujeros de montaje</w:t>
      </w:r>
    </w:p>
    <w:p>
      <w:pPr>
        <w:pStyle w:val="Normal"/>
        <w:rPr/>
      </w:pPr>
      <w:r>
        <w:rPr/>
        <w:t>Dimensiones tomadas del plano suministrado. Confirmar siempre con el fichero mecánico de fabricación antes de mecanizar una caja.</w:t>
      </w:r>
    </w:p>
    <w:p>
      <w:pPr>
        <w:pStyle w:val="Normal"/>
        <w:jc w:val="center"/>
        <w:rPr/>
      </w:pPr>
      <w:r>
        <w:rPr/>
        <w:drawing>
          <wp:inline distT="0" distB="0" distL="0" distR="0">
            <wp:extent cx="6400800" cy="3782060"/>
            <wp:effectExtent l="0" t="0" r="0" b="0"/>
            <wp:docPr id="3"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
                    <pic:cNvPicPr>
                      <a:picLocks noChangeAspect="1" noChangeArrowheads="1"/>
                    </pic:cNvPicPr>
                  </pic:nvPicPr>
                  <pic:blipFill>
                    <a:blip r:embed="rId4"/>
                    <a:stretch>
                      <a:fillRect/>
                    </a:stretch>
                  </pic:blipFill>
                  <pic:spPr bwMode="auto">
                    <a:xfrm>
                      <a:off x="0" y="0"/>
                      <a:ext cx="6400800" cy="3782060"/>
                    </a:xfrm>
                    <a:prstGeom prst="rect">
                      <a:avLst/>
                    </a:prstGeom>
                  </pic:spPr>
                </pic:pic>
              </a:graphicData>
            </a:graphic>
          </wp:inline>
        </w:drawing>
      </w:r>
    </w:p>
    <w:p>
      <w:pPr>
        <w:pStyle w:val="Normal"/>
        <w:rPr/>
      </w:pPr>
      <w:r>
        <w:rPr/>
        <w:t>Para su montaje se recomienda:</w:t>
      </w:r>
    </w:p>
    <w:p>
      <w:pPr>
        <w:pStyle w:val="Normal"/>
        <w:numPr>
          <w:ilvl w:val="0"/>
          <w:numId w:val="7"/>
        </w:numPr>
        <w:rPr/>
      </w:pPr>
      <w:r>
        <w:rPr/>
        <w:t>4 separadores roscados para raspberry de M2.5x10mm ( hembra-hembra) de nylon.</w:t>
      </w:r>
    </w:p>
    <w:p>
      <w:pPr>
        <w:pStyle w:val="Normal"/>
        <w:numPr>
          <w:ilvl w:val="0"/>
          <w:numId w:val="7"/>
        </w:numPr>
        <w:rPr/>
      </w:pPr>
      <w:r>
        <w:rPr/>
        <w:t>2 separadores roscados para la placa de M2.5x25mm ( hembra-hembra) de nylon.</w:t>
      </w:r>
    </w:p>
    <w:p>
      <w:pPr>
        <w:sectPr>
          <w:headerReference w:type="even" r:id="rId5"/>
          <w:headerReference w:type="default" r:id="rId6"/>
          <w:headerReference w:type="first" r:id="rId7"/>
          <w:footerReference w:type="even" r:id="rId8"/>
          <w:footerReference w:type="default" r:id="rId9"/>
          <w:footerReference w:type="first" r:id="rId10"/>
          <w:type w:val="nextPage"/>
          <w:pgSz w:w="12240" w:h="15840"/>
          <w:pgMar w:left="936" w:right="936" w:gutter="0" w:header="720" w:top="792" w:footer="720" w:bottom="792"/>
          <w:pgNumType w:fmt="decimal"/>
          <w:formProt w:val="false"/>
          <w:textDirection w:val="lrTb"/>
          <w:docGrid w:type="default" w:linePitch="360" w:charSpace="0"/>
        </w:sectPr>
        <w:pStyle w:val="Normal"/>
        <w:numPr>
          <w:ilvl w:val="0"/>
          <w:numId w:val="7"/>
        </w:numPr>
        <w:rPr/>
      </w:pPr>
      <w:r>
        <w:rPr/>
        <w:t>12 tornillos 2.5x6 de mylon.</w:t>
      </w:r>
    </w:p>
    <w:p>
      <w:pPr>
        <w:pStyle w:val="Heading1"/>
        <w:rPr/>
      </w:pPr>
      <w:r>
        <w:rPr/>
        <w:t>10.1 GPIO e isoladores ISO1640</w:t>
      </w:r>
    </w:p>
    <w:p>
      <w:pPr>
        <w:sectPr>
          <w:headerReference w:type="default" r:id="rId12"/>
          <w:headerReference w:type="first" r:id="rId13"/>
          <w:footerReference w:type="default" r:id="rId14"/>
          <w:footerReference w:type="first" r:id="rId15"/>
          <w:type w:val="nextPage"/>
          <w:pgSz w:orient="landscape" w:w="15840" w:h="12240"/>
          <w:pgMar w:left="504" w:right="504" w:gutter="0" w:header="720" w:top="777" w:footer="720" w:bottom="777"/>
          <w:pgNumType w:fmt="decimal"/>
          <w:formProt w:val="false"/>
          <w:textDirection w:val="lrTb"/>
          <w:docGrid w:type="default" w:linePitch="360" w:charSpace="0"/>
        </w:sectPr>
        <w:pStyle w:val="Normal"/>
        <w:jc w:val="center"/>
        <w:rPr/>
      </w:pPr>
      <w:r>
        <w:rPr/>
        <w:drawing>
          <wp:inline distT="0" distB="0" distL="0" distR="0">
            <wp:extent cx="7935595" cy="5615940"/>
            <wp:effectExtent l="0" t="0" r="0" b="0"/>
            <wp:docPr id="4"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
                    <pic:cNvPicPr>
                      <a:picLocks noChangeAspect="1" noChangeArrowheads="1"/>
                    </pic:cNvPicPr>
                  </pic:nvPicPr>
                  <pic:blipFill>
                    <a:blip r:embed="rId11"/>
                    <a:stretch>
                      <a:fillRect/>
                    </a:stretch>
                  </pic:blipFill>
                  <pic:spPr bwMode="auto">
                    <a:xfrm>
                      <a:off x="0" y="0"/>
                      <a:ext cx="7935595" cy="5615940"/>
                    </a:xfrm>
                    <a:prstGeom prst="rect">
                      <a:avLst/>
                    </a:prstGeom>
                  </pic:spPr>
                </pic:pic>
              </a:graphicData>
            </a:graphic>
          </wp:inline>
        </w:drawing>
      </w:r>
    </w:p>
    <w:p>
      <w:pPr>
        <w:pStyle w:val="Heading1"/>
        <w:rPr/>
      </w:pPr>
      <w:r>
        <w:rPr/>
        <w:t>10.2 Conectores Grove y bornes</w:t>
      </w:r>
    </w:p>
    <w:p>
      <w:pPr>
        <w:sectPr>
          <w:headerReference w:type="default" r:id="rId17"/>
          <w:headerReference w:type="first" r:id="rId18"/>
          <w:footerReference w:type="default" r:id="rId19"/>
          <w:footerReference w:type="first" r:id="rId20"/>
          <w:type w:val="nextPage"/>
          <w:pgSz w:w="15840" w:h="12240"/>
          <w:pgMar w:left="504" w:right="504" w:gutter="0" w:header="720" w:top="777" w:footer="720" w:bottom="777"/>
          <w:pgNumType w:fmt="decimal"/>
          <w:formProt w:val="false"/>
          <w:textDirection w:val="lrTb"/>
          <w:docGrid w:type="default" w:linePitch="360" w:charSpace="0"/>
        </w:sectPr>
        <w:pStyle w:val="Normal"/>
        <w:jc w:val="center"/>
        <w:rPr/>
      </w:pPr>
      <w:r>
        <w:rPr/>
        <w:drawing>
          <wp:inline distT="0" distB="0" distL="0" distR="0">
            <wp:extent cx="8037195" cy="5687695"/>
            <wp:effectExtent l="0" t="0" r="0" b="0"/>
            <wp:docPr id="5"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
                    <pic:cNvPicPr>
                      <a:picLocks noChangeAspect="1" noChangeArrowheads="1"/>
                    </pic:cNvPicPr>
                  </pic:nvPicPr>
                  <pic:blipFill>
                    <a:blip r:embed="rId16"/>
                    <a:stretch>
                      <a:fillRect/>
                    </a:stretch>
                  </pic:blipFill>
                  <pic:spPr bwMode="auto">
                    <a:xfrm>
                      <a:off x="0" y="0"/>
                      <a:ext cx="8037195" cy="5687695"/>
                    </a:xfrm>
                    <a:prstGeom prst="rect">
                      <a:avLst/>
                    </a:prstGeom>
                  </pic:spPr>
                </pic:pic>
              </a:graphicData>
            </a:graphic>
          </wp:inline>
        </w:drawing>
      </w:r>
    </w:p>
    <w:p>
      <w:pPr>
        <w:pStyle w:val="Heading1"/>
        <w:rPr/>
      </w:pPr>
      <w:r>
        <w:rPr/>
        <w:t>10.3 Alimentación del lado aislado</w:t>
      </w:r>
    </w:p>
    <w:p>
      <w:pPr>
        <w:sectPr>
          <w:headerReference w:type="default" r:id="rId22"/>
          <w:headerReference w:type="first" r:id="rId23"/>
          <w:footerReference w:type="default" r:id="rId24"/>
          <w:footerReference w:type="first" r:id="rId25"/>
          <w:type w:val="nextPage"/>
          <w:pgSz w:orient="landscape" w:w="15840" w:h="12240"/>
          <w:pgMar w:left="504" w:right="504" w:gutter="0" w:header="720" w:top="777" w:footer="720" w:bottom="777"/>
          <w:pgNumType w:fmt="decimal"/>
          <w:formProt w:val="false"/>
          <w:textDirection w:val="lrTb"/>
          <w:docGrid w:type="default" w:linePitch="360" w:charSpace="0"/>
        </w:sectPr>
        <w:pStyle w:val="Normal"/>
        <w:jc w:val="center"/>
        <w:rPr/>
      </w:pPr>
      <w:r>
        <w:rPr/>
        <w:drawing>
          <wp:inline distT="0" distB="0" distL="0" distR="0">
            <wp:extent cx="7643495" cy="5408930"/>
            <wp:effectExtent l="0" t="0" r="0" b="0"/>
            <wp:docPr id="6"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
                    <pic:cNvPicPr>
                      <a:picLocks noChangeAspect="1" noChangeArrowheads="1"/>
                    </pic:cNvPicPr>
                  </pic:nvPicPr>
                  <pic:blipFill>
                    <a:blip r:embed="rId21"/>
                    <a:stretch>
                      <a:fillRect/>
                    </a:stretch>
                  </pic:blipFill>
                  <pic:spPr bwMode="auto">
                    <a:xfrm>
                      <a:off x="0" y="0"/>
                      <a:ext cx="7643495" cy="5408930"/>
                    </a:xfrm>
                    <a:prstGeom prst="rect">
                      <a:avLst/>
                    </a:prstGeom>
                  </pic:spPr>
                </pic:pic>
              </a:graphicData>
            </a:graphic>
          </wp:inline>
        </w:drawing>
      </w:r>
    </w:p>
    <w:p>
      <w:pPr>
        <w:pStyle w:val="Heading1"/>
        <w:rPr/>
      </w:pPr>
      <w:r>
        <w:rPr/>
        <w:t>10.4 EEPROM y selección de alimentación</w:t>
      </w:r>
    </w:p>
    <w:p>
      <w:pPr>
        <w:sectPr>
          <w:headerReference w:type="default" r:id="rId27"/>
          <w:headerReference w:type="first" r:id="rId28"/>
          <w:footerReference w:type="default" r:id="rId29"/>
          <w:footerReference w:type="first" r:id="rId30"/>
          <w:type w:val="nextPage"/>
          <w:pgSz w:w="15840" w:h="12240"/>
          <w:pgMar w:left="504" w:right="504" w:gutter="0" w:header="720" w:top="777" w:footer="720" w:bottom="777"/>
          <w:pgNumType w:fmt="decimal"/>
          <w:formProt w:val="false"/>
          <w:textDirection w:val="lrTb"/>
          <w:docGrid w:type="default" w:linePitch="360" w:charSpace="0"/>
        </w:sectPr>
        <w:pStyle w:val="Normal"/>
        <w:jc w:val="center"/>
        <w:rPr/>
      </w:pPr>
      <w:r>
        <w:rPr/>
        <w:drawing>
          <wp:inline distT="0" distB="0" distL="0" distR="0">
            <wp:extent cx="7859395" cy="5561965"/>
            <wp:effectExtent l="0" t="0" r="0" b="0"/>
            <wp:docPr id="7"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
                    <pic:cNvPicPr>
                      <a:picLocks noChangeAspect="1" noChangeArrowheads="1"/>
                    </pic:cNvPicPr>
                  </pic:nvPicPr>
                  <pic:blipFill>
                    <a:blip r:embed="rId26"/>
                    <a:stretch>
                      <a:fillRect/>
                    </a:stretch>
                  </pic:blipFill>
                  <pic:spPr bwMode="auto">
                    <a:xfrm>
                      <a:off x="0" y="0"/>
                      <a:ext cx="7859395" cy="5561965"/>
                    </a:xfrm>
                    <a:prstGeom prst="rect">
                      <a:avLst/>
                    </a:prstGeom>
                  </pic:spPr>
                </pic:pic>
              </a:graphicData>
            </a:graphic>
          </wp:inline>
        </w:drawing>
      </w:r>
    </w:p>
    <w:p>
      <w:pPr>
        <w:pStyle w:val="Heading1"/>
        <w:rPr/>
      </w:pPr>
      <w:r>
        <w:rPr/>
        <w:t>11. Puesta en marcha</w:t>
      </w:r>
    </w:p>
    <w:p>
      <w:pPr>
        <w:pStyle w:val="Normal"/>
        <w:rPr/>
      </w:pPr>
      <w:r>
        <w:rPr/>
        <w:t>1. Con la Raspberry Pi apagada, montar la placa sobre el conector GPIO de 40 pines y comprobar que no está desplazada un pin.</w:t>
      </w:r>
    </w:p>
    <w:p>
      <w:pPr>
        <w:pStyle w:val="Normal"/>
        <w:rPr/>
      </w:pPr>
      <w:r>
        <w:rPr/>
        <w:t>Con el propósito de mejorar la ventilación y no provocar problemas de calor, la placa  no se monta encima sino en un lado como se muestra en la fotografia.</w:t>
      </w:r>
    </w:p>
    <w:p>
      <w:pPr>
        <w:pStyle w:val="Normal"/>
        <w:rPr/>
      </w:pPr>
      <w:r>
        <w:rPr/>
        <w:t>ATENCION! Si lo monta de otro modo puede dañar tanto la placa como la raspberry.</w:t>
      </w:r>
    </w:p>
    <w:p>
      <w:pPr>
        <w:pStyle w:val="Normal"/>
        <w:rPr/>
      </w:pPr>
      <w:r>
        <w:rPr/>
      </w:r>
    </w:p>
    <w:p>
      <w:pPr>
        <w:pStyle w:val="Normal"/>
        <w:rPr/>
      </w:pPr>
      <w:r>
        <w:rPr/>
        <w:drawing>
          <wp:anchor behindDoc="0" distT="0" distB="0" distL="0" distR="0" simplePos="0" locked="0" layoutInCell="0" allowOverlap="1" relativeHeight="8">
            <wp:simplePos x="0" y="0"/>
            <wp:positionH relativeFrom="column">
              <wp:posOffset>4524375</wp:posOffset>
            </wp:positionH>
            <wp:positionV relativeFrom="paragraph">
              <wp:posOffset>92075</wp:posOffset>
            </wp:positionV>
            <wp:extent cx="4396740" cy="3820795"/>
            <wp:effectExtent l="0" t="0" r="0" b="0"/>
            <wp:wrapSquare wrapText="largest"/>
            <wp:docPr id="8" name="Imagen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2" descr=""/>
                    <pic:cNvPicPr>
                      <a:picLocks noChangeAspect="1" noChangeArrowheads="1"/>
                    </pic:cNvPicPr>
                  </pic:nvPicPr>
                  <pic:blipFill>
                    <a:blip r:embed="rId31"/>
                    <a:srcRect l="6771" t="0" r="6909" b="0"/>
                    <a:stretch>
                      <a:fillRect/>
                    </a:stretch>
                  </pic:blipFill>
                  <pic:spPr bwMode="auto">
                    <a:xfrm>
                      <a:off x="0" y="0"/>
                      <a:ext cx="4396740" cy="3820795"/>
                    </a:xfrm>
                    <a:prstGeom prst="rect">
                      <a:avLst/>
                    </a:prstGeom>
                  </pic:spPr>
                </pic:pic>
              </a:graphicData>
            </a:graphic>
          </wp:anchor>
        </w:drawing>
        <w:drawing>
          <wp:anchor behindDoc="0" distT="0" distB="0" distL="0" distR="0" simplePos="0" locked="0" layoutInCell="0" allowOverlap="1" relativeHeight="9">
            <wp:simplePos x="0" y="0"/>
            <wp:positionH relativeFrom="column">
              <wp:posOffset>88900</wp:posOffset>
            </wp:positionH>
            <wp:positionV relativeFrom="paragraph">
              <wp:posOffset>92075</wp:posOffset>
            </wp:positionV>
            <wp:extent cx="4415155" cy="3821430"/>
            <wp:effectExtent l="0" t="0" r="0" b="0"/>
            <wp:wrapSquare wrapText="largest"/>
            <wp:docPr id="9" name="Imagen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3" descr=""/>
                    <pic:cNvPicPr>
                      <a:picLocks noChangeAspect="1" noChangeArrowheads="1"/>
                    </pic:cNvPicPr>
                  </pic:nvPicPr>
                  <pic:blipFill>
                    <a:blip r:embed="rId32"/>
                    <a:stretch>
                      <a:fillRect/>
                    </a:stretch>
                  </pic:blipFill>
                  <pic:spPr bwMode="auto">
                    <a:xfrm>
                      <a:off x="0" y="0"/>
                      <a:ext cx="4415155" cy="3821430"/>
                    </a:xfrm>
                    <a:prstGeom prst="rect">
                      <a:avLst/>
                    </a:prstGeom>
                  </pic:spPr>
                </pic:pic>
              </a:graphicData>
            </a:graphic>
          </wp:anchor>
        </w:drawing>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2. Seleccionar 3,3 V o 5 V en los jumpers según los equipos conectados.</w:t>
      </w:r>
    </w:p>
    <w:p>
      <w:pPr>
        <w:pStyle w:val="Normal"/>
        <w:rPr/>
      </w:pPr>
      <w:r>
        <w:rPr/>
        <w:t>3. Conectar cada equipo a su canal respetando V+, GND_B, SDA y SCL.</w:t>
      </w:r>
    </w:p>
    <w:p>
      <w:pPr>
        <w:pStyle w:val="Normal"/>
        <w:rPr/>
      </w:pPr>
      <w:r>
        <w:rPr/>
        <w:t>4. Añadir las líneas dtoverlay a config.txt.</w:t>
      </w:r>
    </w:p>
    <w:p>
      <w:pPr>
        <w:pStyle w:val="Normal"/>
        <w:rPr/>
      </w:pPr>
      <w:r>
        <w:rPr/>
        <w:t>5. Alimentar el conjunto con 5 V y reiniciar.</w:t>
      </w:r>
    </w:p>
    <w:p>
      <w:pPr>
        <w:pStyle w:val="Normal"/>
        <w:rPr/>
      </w:pPr>
      <w:r>
        <w:rPr/>
        <w:t>6. Comprobar cada bus con i2cdetect. No ejecutar búsquedas simultáneas sobre el mismo bus desde varios programas.</w:t>
      </w:r>
    </w:p>
    <w:p>
      <w:pPr>
        <w:pStyle w:val="Normal"/>
        <w:rPr/>
      </w:pPr>
      <w:r>
        <w:rPr/>
        <w:t>7. Medir el consumo total y verificar que no supera 1 A en 3,3 V ni 2 A en 5 V.</w:t>
      </w:r>
    </w:p>
    <w:p>
      <w:pPr>
        <w:pStyle w:val="Normal"/>
        <w:rPr/>
      </w:pPr>
      <w:r>
        <w:rPr/>
        <w:t>Los conectores grove tienen el siguiente pin out que coincide con los cables de la marca m5stack.</w:t>
      </w:r>
    </w:p>
    <w:p>
      <w:pPr>
        <w:pStyle w:val="Normal"/>
        <w:rPr/>
      </w:pPr>
      <w:r>
        <w:rPr/>
      </w:r>
    </w:p>
    <w:p>
      <w:pPr>
        <w:pStyle w:val="Normal"/>
        <w:rPr/>
      </w:pPr>
      <w:r>
        <w:rPr/>
      </w:r>
    </w:p>
    <w:p>
      <w:pPr>
        <w:pStyle w:val="Normal"/>
        <w:rPr/>
      </w:pPr>
      <w:r>
        <w:rPr/>
        <w:drawing>
          <wp:anchor behindDoc="0" distT="0" distB="0" distL="0" distR="0" simplePos="0" locked="0" layoutInCell="0" allowOverlap="1" relativeHeight="10">
            <wp:simplePos x="0" y="0"/>
            <wp:positionH relativeFrom="column">
              <wp:align>center</wp:align>
            </wp:positionH>
            <wp:positionV relativeFrom="paragraph">
              <wp:posOffset>635</wp:posOffset>
            </wp:positionV>
            <wp:extent cx="8778240" cy="4204970"/>
            <wp:effectExtent l="0" t="0" r="0" b="0"/>
            <wp:wrapSquare wrapText="largest"/>
            <wp:docPr id="10" name="Imagen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4" descr=""/>
                    <pic:cNvPicPr>
                      <a:picLocks noChangeAspect="1" noChangeArrowheads="1"/>
                    </pic:cNvPicPr>
                  </pic:nvPicPr>
                  <pic:blipFill>
                    <a:blip r:embed="rId33"/>
                    <a:stretch>
                      <a:fillRect/>
                    </a:stretch>
                  </pic:blipFill>
                  <pic:spPr bwMode="auto">
                    <a:xfrm>
                      <a:off x="0" y="0"/>
                      <a:ext cx="8778240" cy="4204970"/>
                    </a:xfrm>
                    <a:prstGeom prst="rect">
                      <a:avLst/>
                    </a:prstGeom>
                  </pic:spPr>
                </pic:pic>
              </a:graphicData>
            </a:graphic>
          </wp:anchor>
        </w:drawing>
      </w:r>
    </w:p>
    <w:p>
      <w:pPr>
        <w:pStyle w:val="Normal"/>
        <w:rPr/>
      </w:pPr>
      <w:r>
        <w:rPr/>
      </w:r>
    </w:p>
    <w:p>
      <w:pPr>
        <w:pStyle w:val="Normal"/>
        <w:rPr/>
      </w:pPr>
      <w:r>
        <w:rPr/>
        <w:t>Se ha dispuesto un header alargado para poder usar los pines de GPIO que estén libres, pero tenga en cuenta que si usa los pines que están ocupados para  los buses i2c, provocaría un mal funcionamiento del bus. En el gráfico se muestran los pines que no se pueden usar.</w:t>
      </w:r>
    </w:p>
    <w:p>
      <w:pPr>
        <w:pStyle w:val="Normal"/>
        <w:rPr/>
      </w:pPr>
      <w:r>
        <w:rPr/>
      </w:r>
    </w:p>
    <w:p>
      <w:pPr>
        <w:pStyle w:val="Normal"/>
        <w:rPr/>
      </w:pPr>
      <w:r>
        <w:rPr/>
      </w:r>
    </w:p>
    <w:p>
      <w:pPr>
        <w:pStyle w:val="Normal"/>
        <w:rPr/>
      </w:pPr>
      <w:r>
        <w:rPr/>
        <w:drawing>
          <wp:anchor behindDoc="0" distT="0" distB="0" distL="0" distR="0" simplePos="0" locked="0" layoutInCell="0" allowOverlap="1" relativeHeight="11">
            <wp:simplePos x="0" y="0"/>
            <wp:positionH relativeFrom="column">
              <wp:align>center</wp:align>
            </wp:positionH>
            <wp:positionV relativeFrom="paragraph">
              <wp:posOffset>635</wp:posOffset>
            </wp:positionV>
            <wp:extent cx="8778240" cy="5041900"/>
            <wp:effectExtent l="0" t="0" r="0" b="0"/>
            <wp:wrapSquare wrapText="largest"/>
            <wp:docPr id="11" name="Imagen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5" descr=""/>
                    <pic:cNvPicPr>
                      <a:picLocks noChangeAspect="1" noChangeArrowheads="1"/>
                    </pic:cNvPicPr>
                  </pic:nvPicPr>
                  <pic:blipFill>
                    <a:blip r:embed="rId34"/>
                    <a:stretch>
                      <a:fillRect/>
                    </a:stretch>
                  </pic:blipFill>
                  <pic:spPr bwMode="auto">
                    <a:xfrm>
                      <a:off x="0" y="0"/>
                      <a:ext cx="8778240" cy="5041900"/>
                    </a:xfrm>
                    <a:prstGeom prst="rect">
                      <a:avLst/>
                    </a:prstGeom>
                  </pic:spPr>
                </pic:pic>
              </a:graphicData>
            </a:graphic>
          </wp:anchor>
        </w:drawing>
      </w:r>
    </w:p>
    <w:p>
      <w:pPr>
        <w:pStyle w:val="Heading1"/>
        <w:rPr/>
      </w:pPr>
      <w:r>
        <w:rPr/>
        <w:t xml:space="preserve">12. </w:t>
      </w:r>
    </w:p>
    <w:p>
      <w:pPr>
        <w:pStyle w:val="Heading1"/>
        <w:rPr/>
      </w:pPr>
      <w:r>
        <w:rPr/>
        <w:t>Referencias</w:t>
      </w:r>
    </w:p>
    <w:p>
      <w:pPr>
        <w:pStyle w:val="Normal"/>
        <w:rPr/>
      </w:pPr>
      <w:r>
        <w:rPr/>
        <w:t xml:space="preserve">• </w:t>
      </w:r>
      <w:r>
        <w:rPr/>
        <w:t>Esquema eléctrico Subitronics gpio / iso1640 Rev. 1.0 (cabeceras de jumpers corregidas), 14/07/2026.</w:t>
        <w:br/>
        <w:t>• Plano PCB Subitronics, 14/07/2026.</w:t>
        <w:br/>
        <w:t>• Texas Instruments, ISO164x Hot-Swappable Bidirectional I²C Isolators with Enhanced EMC and GPIOs, Rev. D.</w:t>
      </w:r>
    </w:p>
    <w:p>
      <w:pPr>
        <w:pStyle w:val="Normal"/>
        <w:widowControl/>
        <w:bidi w:val="0"/>
        <w:spacing w:lineRule="auto" w:line="276" w:before="0" w:after="200"/>
        <w:jc w:val="left"/>
        <w:rPr/>
      </w:pPr>
      <w:r>
        <w:rPr/>
        <w:t>Este documento describe la revisión mostrada en los ficheros suministrados. Subitronics puede modificar componentes, conectores o firmware en revisiones posteriores.</w:t>
      </w:r>
    </w:p>
    <w:sectPr>
      <w:headerReference w:type="default" r:id="rId35"/>
      <w:headerReference w:type="first" r:id="rId36"/>
      <w:footerReference w:type="default" r:id="rId37"/>
      <w:footerReference w:type="first" r:id="rId38"/>
      <w:type w:val="nextPage"/>
      <w:pgSz w:w="15840" w:h="12240"/>
      <w:pgMar w:left="1008" w:right="1008" w:gutter="0" w:header="720" w:top="864" w:footer="720" w:bottom="86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Courier">
    <w:altName w:val="Courier New"/>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Liberation Mono">
    <w:altName w:val="Courier New"/>
    <w:charset w:val="01"/>
    <w:family w:val="roman"/>
    <w:pitch w:val="variable"/>
  </w:font>
  <w:font w:name="Symbol">
    <w:charset w:val="02"/>
    <w:family w:val="auto"/>
    <w:pitch w:val="default"/>
  </w:font>
  <w:font w:name="OpenSymbol">
    <w:altName w:val="Arial Unicode MS"/>
    <w:charset w:val="01"/>
    <w:family w:val="auto"/>
    <w:pitch w:val="variable"/>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t xml:space="preserve">Página </w:t>
    </w:r>
    <w:r>
      <w:rPr/>
      <w:fldChar w:fldCharType="begin"/>
    </w:r>
    <w:r>
      <w:rPr/>
      <w:instrText xml:space="preserve"> PAGE </w:instrText>
    </w:r>
    <w:r>
      <w:rPr/>
      <w:fldChar w:fldCharType="separate"/>
    </w:r>
    <w:r>
      <w:rPr/>
      <w:t>8</w:t>
    </w:r>
    <w:r>
      <w:rPr/>
      <w:fldChar w:fldCharType="end"/>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t xml:space="preserve">Página </w:t>
    </w:r>
    <w:r>
      <w:rPr/>
      <w:fldChar w:fldCharType="begin"/>
    </w:r>
    <w:r>
      <w:rPr/>
      <w:instrText xml:space="preserve"> PAGE </w:instrText>
    </w:r>
    <w:r>
      <w:rPr/>
      <w:fldChar w:fldCharType="separate"/>
    </w:r>
    <w:r>
      <w:rPr/>
      <w:t>12</w:t>
    </w:r>
    <w:r>
      <w:rPr/>
      <w:fldChar w:fldCharType="end"/>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t xml:space="preserve">Página </w:t>
    </w:r>
    <w:r>
      <w:rPr/>
      <w:fldChar w:fldCharType="begin"/>
    </w:r>
    <w:r>
      <w:rPr/>
      <w:instrText xml:space="preserve"> PAGE </w:instrText>
    </w:r>
    <w:r>
      <w:rPr/>
      <w:fldChar w:fldCharType="separate"/>
    </w:r>
    <w:r>
      <w:rPr/>
      <w:t>4</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t xml:space="preserve">Página </w:t>
    </w:r>
    <w:r>
      <w:rPr/>
      <w:fldChar w:fldCharType="begin"/>
    </w:r>
    <w:r>
      <w:rPr/>
      <w:instrText xml:space="preserve"> PAGE </w:instrText>
    </w:r>
    <w:r>
      <w:rPr/>
      <w:fldChar w:fldCharType="separate"/>
    </w:r>
    <w:r>
      <w:rPr/>
      <w:t>4</w:t>
    </w:r>
    <w:r>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t xml:space="preserve">Página </w:t>
    </w:r>
    <w:r>
      <w:rPr/>
      <w:fldChar w:fldCharType="begin"/>
    </w:r>
    <w:r>
      <w:rPr/>
      <w:instrText xml:space="preserve"> PAGE </w:instrText>
    </w:r>
    <w:r>
      <w:rPr/>
      <w:fldChar w:fldCharType="separate"/>
    </w:r>
    <w:r>
      <w:rPr/>
      <w:t>5</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t xml:space="preserve">Página </w:t>
    </w:r>
    <w:r>
      <w:rPr/>
      <w:fldChar w:fldCharType="begin"/>
    </w:r>
    <w:r>
      <w:rPr/>
      <w:instrText xml:space="preserve"> PAGE </w:instrText>
    </w:r>
    <w:r>
      <w:rPr/>
      <w:fldChar w:fldCharType="separate"/>
    </w:r>
    <w:r>
      <w:rPr/>
      <w:t>6</w:t>
    </w:r>
    <w:r>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t xml:space="preserve">Página </w:t>
    </w:r>
    <w:r>
      <w:rPr/>
      <w:fldChar w:fldCharType="begin"/>
    </w:r>
    <w:r>
      <w:rPr/>
      <w:instrText xml:space="preserve"> PAGE </w:instrText>
    </w:r>
    <w:r>
      <w:rPr/>
      <w:fldChar w:fldCharType="separate"/>
    </w:r>
    <w:r>
      <w:rPr/>
      <w:t>7</w:t>
    </w:r>
    <w:r>
      <w:rPr/>
      <w:fldChar w:fldCharType="end"/>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b/>
        <w:sz w:val="16"/>
      </w:rPr>
      <w:t>SUBITRONICS  |  Documento técnico  |  Rev. 1.0</w:t>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b/>
        <w:sz w:val="16"/>
      </w:rPr>
      <w:t>SUBITRONICS  |  Documento técnico  |  Rev. 1.0</w:t>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b/>
        <w:sz w:val="16"/>
      </w:rPr>
      <w:t>SUBITRONICS  |  Documento técnico  |  Rev. 1.0</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b/>
        <w:sz w:val="16"/>
      </w:rPr>
      <w:t>SUBITRONICS  |  Documento técnico  |  Rev. 1.0</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b/>
        <w:sz w:val="16"/>
      </w:rPr>
      <w:t>SUBITRONICS  |  Documento técnico  |  Rev. 1.0</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b/>
        <w:sz w:val="16"/>
      </w:rPr>
      <w:t>SUBITRONICS  |  Documento técnico  |  Rev. 1.0</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b/>
        <w:sz w:val="16"/>
      </w:rPr>
      <w:t>SUBITRONICS  |  Documento técnico  |  Rev. 1.0</w: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bullet"/>
      <w:lvlText w:val=""/>
      <w:lvlJc w:val="left"/>
      <w:pPr>
        <w:tabs>
          <w:tab w:val="num" w:pos="773"/>
        </w:tabs>
        <w:ind w:left="773" w:hanging="360"/>
      </w:pPr>
      <w:rPr>
        <w:rFonts w:ascii="Symbol" w:hAnsi="Symbol" w:cs="Symbol" w:hint="default"/>
      </w:rPr>
    </w:lvl>
    <w:lvl w:ilvl="1">
      <w:start w:val="1"/>
      <w:numFmt w:val="bullet"/>
      <w:lvlText w:val="◦"/>
      <w:lvlJc w:val="left"/>
      <w:pPr>
        <w:tabs>
          <w:tab w:val="num" w:pos="1133"/>
        </w:tabs>
        <w:ind w:left="1133" w:hanging="360"/>
      </w:pPr>
      <w:rPr>
        <w:rFonts w:ascii="OpenSymbol" w:hAnsi="OpenSymbol" w:cs="OpenSymbol" w:hint="default"/>
      </w:rPr>
    </w:lvl>
    <w:lvl w:ilvl="2">
      <w:start w:val="1"/>
      <w:numFmt w:val="bullet"/>
      <w:lvlText w:val="▪"/>
      <w:lvlJc w:val="left"/>
      <w:pPr>
        <w:tabs>
          <w:tab w:val="num" w:pos="1493"/>
        </w:tabs>
        <w:ind w:left="1493" w:hanging="360"/>
      </w:pPr>
      <w:rPr>
        <w:rFonts w:ascii="OpenSymbol" w:hAnsi="OpenSymbol" w:cs="OpenSymbol" w:hint="default"/>
      </w:rPr>
    </w:lvl>
    <w:lvl w:ilvl="3">
      <w:start w:val="1"/>
      <w:numFmt w:val="bullet"/>
      <w:lvlText w:val=""/>
      <w:lvlJc w:val="left"/>
      <w:pPr>
        <w:tabs>
          <w:tab w:val="num" w:pos="1853"/>
        </w:tabs>
        <w:ind w:left="1853" w:hanging="360"/>
      </w:pPr>
      <w:rPr>
        <w:rFonts w:ascii="Symbol" w:hAnsi="Symbol" w:cs="Symbol" w:hint="default"/>
      </w:rPr>
    </w:lvl>
    <w:lvl w:ilvl="4">
      <w:start w:val="1"/>
      <w:numFmt w:val="bullet"/>
      <w:lvlText w:val="◦"/>
      <w:lvlJc w:val="left"/>
      <w:pPr>
        <w:tabs>
          <w:tab w:val="num" w:pos="2213"/>
        </w:tabs>
        <w:ind w:left="2213" w:hanging="360"/>
      </w:pPr>
      <w:rPr>
        <w:rFonts w:ascii="OpenSymbol" w:hAnsi="OpenSymbol" w:cs="OpenSymbol" w:hint="default"/>
      </w:rPr>
    </w:lvl>
    <w:lvl w:ilvl="5">
      <w:start w:val="1"/>
      <w:numFmt w:val="bullet"/>
      <w:lvlText w:val="▪"/>
      <w:lvlJc w:val="left"/>
      <w:pPr>
        <w:tabs>
          <w:tab w:val="num" w:pos="2573"/>
        </w:tabs>
        <w:ind w:left="2573" w:hanging="360"/>
      </w:pPr>
      <w:rPr>
        <w:rFonts w:ascii="OpenSymbol" w:hAnsi="OpenSymbol" w:cs="OpenSymbol" w:hint="default"/>
      </w:rPr>
    </w:lvl>
    <w:lvl w:ilvl="6">
      <w:start w:val="1"/>
      <w:numFmt w:val="bullet"/>
      <w:lvlText w:val=""/>
      <w:lvlJc w:val="left"/>
      <w:pPr>
        <w:tabs>
          <w:tab w:val="num" w:pos="2933"/>
        </w:tabs>
        <w:ind w:left="2933" w:hanging="360"/>
      </w:pPr>
      <w:rPr>
        <w:rFonts w:ascii="Symbol" w:hAnsi="Symbol" w:cs="Symbol" w:hint="default"/>
      </w:rPr>
    </w:lvl>
    <w:lvl w:ilvl="7">
      <w:start w:val="1"/>
      <w:numFmt w:val="bullet"/>
      <w:lvlText w:val="◦"/>
      <w:lvlJc w:val="left"/>
      <w:pPr>
        <w:tabs>
          <w:tab w:val="num" w:pos="3293"/>
        </w:tabs>
        <w:ind w:left="3293" w:hanging="360"/>
      </w:pPr>
      <w:rPr>
        <w:rFonts w:ascii="OpenSymbol" w:hAnsi="OpenSymbol" w:cs="OpenSymbol" w:hint="default"/>
      </w:rPr>
    </w:lvl>
    <w:lvl w:ilvl="8">
      <w:start w:val="1"/>
      <w:numFmt w:val="bullet"/>
      <w:lvlText w:val="▪"/>
      <w:lvlJc w:val="left"/>
      <w:pPr>
        <w:tabs>
          <w:tab w:val="num" w:pos="3653"/>
        </w:tabs>
        <w:ind w:left="3653" w:hanging="360"/>
      </w:pPr>
      <w:rPr>
        <w:rFonts w:ascii="OpenSymbol" w:hAnsi="OpenSymbol" w:cs="Open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95"/>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276" w:before="0" w:after="200"/>
      <w:jc w:val="left"/>
    </w:pPr>
    <w:rPr>
      <w:rFonts w:ascii="Arial" w:hAnsi="Arial" w:eastAsia="" w:cs="" w:cstheme="minorBidi" w:eastAsiaTheme="minorEastAsia"/>
      <w:color w:val="auto"/>
      <w:kern w:val="0"/>
      <w:sz w:val="19"/>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 w:cs="" w:asciiTheme="majorHAnsi" w:cstheme="majorBidi" w:eastAsiaTheme="majorEastAsia" w:hAnsiTheme="majorHAnsi"/>
      <w:b/>
      <w:bCs/>
      <w:color w:themeColor="accent1" w:themeShade="bf" w:val="365F91"/>
      <w:sz w:val="30"/>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4"/>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uiPriority w:val="99"/>
    <w:qFormat/>
    <w:rsid w:val="00e618bf"/>
    <w:rPr/>
  </w:style>
  <w:style w:type="character" w:styleId="FooterChar" w:customStyle="1">
    <w:name w:val="Footer Char"/>
    <w:basedOn w:val="DefaultParagraphFont"/>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itleChar" w:customStyle="1">
    <w:name w:val="Title Char"/>
    <w:basedOn w:val="DefaultParagraphFont"/>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Heading5Char" w:customStyle="1">
    <w:name w:val="Heading 5 Char"/>
    <w:basedOn w:val="DefaultParagraphFont"/>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Heading6Char" w:customStyle="1">
    <w:name w:val="Heading 6 Char"/>
    <w:basedOn w:val="DefaultParagraphFont"/>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Bolos">
    <w:name w:val="Bolos"/>
    <w:qFormat/>
    <w:rPr>
      <w:rFonts w:ascii="OpenSymbol" w:hAnsi="OpenSymbol" w:eastAsia="OpenSymbol" w:cs="OpenSymbol"/>
    </w:rPr>
  </w:style>
  <w:style w:type="paragraph" w:styleId="Ttulo">
    <w:name w:val="Título"/>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lef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ndice">
    <w:name w:val="Índice"/>
    <w:basedOn w:val="Normal"/>
    <w:qFormat/>
    <w:pPr>
      <w:suppressLineNumbers/>
    </w:pPr>
    <w:rPr>
      <w:rFonts w:cs="Noto Sans Devanagari"/>
    </w:rPr>
  </w:style>
  <w:style w:type="paragraph" w:styleId="Cabeceraypie">
    <w:name w:val="Cabecera y pie"/>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lef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 w:cs="" w:asciiTheme="majorHAnsi" w:cstheme="majorBidi" w:eastAsiaTheme="majorEastAsia" w:hAnsiTheme="majorHAnsi"/>
      <w:b/>
      <w:color w:val="000000"/>
      <w:spacing w:val="5"/>
      <w:kern w:val="2"/>
      <w:sz w:val="50"/>
      <w:szCs w:val="52"/>
    </w:rPr>
  </w:style>
  <w:style w:type="paragraph" w:styleId="Subtitle">
    <w:name w:val="Subtitle"/>
    <w:basedOn w:val="Normal"/>
    <w:next w:val="Normal"/>
    <w:link w:val="SubtitleChar"/>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lef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left="720"/>
      <w:contextualSpacing/>
    </w:pPr>
    <w:rPr/>
  </w:style>
  <w:style w:type="paragraph" w:styleId="List3">
    <w:name w:val="List 3"/>
    <w:basedOn w:val="Normal"/>
    <w:uiPriority w:val="99"/>
    <w:unhideWhenUsed/>
    <w:qFormat/>
    <w:rsid w:val="00326f90"/>
    <w:pPr>
      <w:spacing w:before="0" w:after="200"/>
      <w:ind w:hanging="360" w:lef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left="360"/>
      <w:contextualSpacing/>
    </w:pPr>
    <w:rPr/>
  </w:style>
  <w:style w:type="paragraph" w:styleId="ListContinue2">
    <w:name w:val="List Continue 2"/>
    <w:basedOn w:val="Normal"/>
    <w:uiPriority w:val="99"/>
    <w:unhideWhenUsed/>
    <w:rsid w:val="0029639d"/>
    <w:pPr>
      <w:spacing w:before="0" w:after="120"/>
      <w:ind w:left="720"/>
      <w:contextualSpacing/>
    </w:pPr>
    <w:rPr/>
  </w:style>
  <w:style w:type="paragraph" w:styleId="ListContinue3">
    <w:name w:val="List Continue 3"/>
    <w:basedOn w:val="Normal"/>
    <w:uiPriority w:val="99"/>
    <w:unhideWhenUsed/>
    <w:rsid w:val="0029639d"/>
    <w:pPr>
      <w:spacing w:before="0" w:after="120"/>
      <w:ind w:left="1080"/>
      <w:contextualSpacing/>
    </w:pPr>
    <w:rPr/>
  </w:style>
  <w:style w:type="paragraph" w:styleId="macro">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lef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themeColor="accent1" w:val="4F81BD"/>
    </w:rPr>
  </w:style>
  <w:style w:type="paragraph" w:styleId="IndexHeading">
    <w:name w:val="Index Heading"/>
    <w:basedOn w:val="Ttulo"/>
    <w:pPr/>
    <w:rPr/>
  </w:style>
  <w:style w:type="paragraph" w:styleId="TOCHeading">
    <w:name w:val="TOC Heading"/>
    <w:basedOn w:val="Heading1"/>
    <w:next w:val="Normal"/>
    <w:uiPriority w:val="39"/>
    <w:semiHidden/>
    <w:unhideWhenUsed/>
    <w:qFormat/>
    <w:rsid w:val="00fc693f"/>
    <w:pPr>
      <w:outlineLvl w:val="9"/>
    </w:pPr>
    <w:rPr/>
  </w:style>
  <w:style w:type="paragraph" w:styleId="Cabeceraizquierda">
    <w:name w:val="Cabecera izquierda"/>
    <w:basedOn w:val="Header"/>
    <w:qFormat/>
    <w:pPr/>
    <w:rPr/>
  </w:style>
  <w:style w:type="numbering" w:styleId="Ningunalista" w:default="1">
    <w:name w:val="Ninguna lista"/>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ColorfulShading-Accent1">
    <w:name w:val="Colorful Shading Accent 1"/>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ColorfulShading-Accent2">
    <w:name w:val="Colorful Shading Accent 2"/>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ColorfulShading-Accent3">
    <w:name w:val="Colorful Shading Accent 3"/>
    <w:basedOn w:val="TableNormal"/>
    <w:uiPriority w:val="71"/>
    <w:rsid w:val="00cb0664"/>
    <w:pPr>
      <w:spacing w:after="0" w:line="240" w:lineRule="auto"/>
    </w:pPr>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ColorfulShading-Accent5">
    <w:name w:val="Colorful Shading Accent 5"/>
    <w:basedOn w:val="TableNormal"/>
    <w:uiPriority w:val="71"/>
    <w:rsid w:val="00cb0664"/>
    <w:pPr>
      <w:spacing w:after="0" w:line="240" w:lineRule="auto"/>
    </w:pPr>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ColorfulShading-Accent6">
    <w:name w:val="Colorful Shading Accent 6"/>
    <w:basedOn w:val="TableNormal"/>
    <w:uiPriority w:val="71"/>
    <w:rsid w:val="00cb0664"/>
    <w:pPr>
      <w:spacing w:after="0" w:line="240" w:lineRule="auto"/>
    </w:pPr>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ColorfulList">
    <w:name w:val="Colorful List"/>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image" Target="media/image4.png"/><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image" Target="media/image5.png"/><Relationship Id="rId17" Type="http://schemas.openxmlformats.org/officeDocument/2006/relationships/header" Target="header6.xml"/><Relationship Id="rId18" Type="http://schemas.openxmlformats.org/officeDocument/2006/relationships/header" Target="header7.xml"/><Relationship Id="rId19" Type="http://schemas.openxmlformats.org/officeDocument/2006/relationships/footer" Target="footer6.xml"/><Relationship Id="rId20" Type="http://schemas.openxmlformats.org/officeDocument/2006/relationships/footer" Target="footer7.xml"/><Relationship Id="rId21" Type="http://schemas.openxmlformats.org/officeDocument/2006/relationships/image" Target="media/image6.png"/><Relationship Id="rId22" Type="http://schemas.openxmlformats.org/officeDocument/2006/relationships/header" Target="header8.xml"/><Relationship Id="rId23" Type="http://schemas.openxmlformats.org/officeDocument/2006/relationships/header" Target="header9.xml"/><Relationship Id="rId24" Type="http://schemas.openxmlformats.org/officeDocument/2006/relationships/footer" Target="footer8.xml"/><Relationship Id="rId25" Type="http://schemas.openxmlformats.org/officeDocument/2006/relationships/footer" Target="footer9.xml"/><Relationship Id="rId26" Type="http://schemas.openxmlformats.org/officeDocument/2006/relationships/image" Target="media/image7.png"/><Relationship Id="rId27" Type="http://schemas.openxmlformats.org/officeDocument/2006/relationships/header" Target="header10.xml"/><Relationship Id="rId28" Type="http://schemas.openxmlformats.org/officeDocument/2006/relationships/header" Target="header11.xml"/><Relationship Id="rId29" Type="http://schemas.openxmlformats.org/officeDocument/2006/relationships/footer" Target="footer10.xml"/><Relationship Id="rId30" Type="http://schemas.openxmlformats.org/officeDocument/2006/relationships/footer" Target="footer11.xml"/><Relationship Id="rId31" Type="http://schemas.openxmlformats.org/officeDocument/2006/relationships/image" Target="media/image8.jpeg"/><Relationship Id="rId32" Type="http://schemas.openxmlformats.org/officeDocument/2006/relationships/image" Target="media/image9.jpeg"/><Relationship Id="rId33" Type="http://schemas.openxmlformats.org/officeDocument/2006/relationships/image" Target="media/image10.png"/><Relationship Id="rId34" Type="http://schemas.openxmlformats.org/officeDocument/2006/relationships/image" Target="media/image11.png"/><Relationship Id="rId35" Type="http://schemas.openxmlformats.org/officeDocument/2006/relationships/header" Target="header12.xml"/><Relationship Id="rId36" Type="http://schemas.openxmlformats.org/officeDocument/2006/relationships/header" Target="header13.xml"/><Relationship Id="rId37" Type="http://schemas.openxmlformats.org/officeDocument/2006/relationships/footer" Target="footer12.xml"/><Relationship Id="rId38" Type="http://schemas.openxmlformats.org/officeDocument/2006/relationships/footer" Target="footer13.xml"/><Relationship Id="rId39" Type="http://schemas.openxmlformats.org/officeDocument/2006/relationships/numbering" Target="numbering.xml"/><Relationship Id="rId40" Type="http://schemas.openxmlformats.org/officeDocument/2006/relationships/fontTable" Target="fontTable.xml"/><Relationship Id="rId41" Type="http://schemas.openxmlformats.org/officeDocument/2006/relationships/settings" Target="settings.xml"/><Relationship Id="rId42" Type="http://schemas.openxmlformats.org/officeDocument/2006/relationships/theme" Target="theme/theme1.xml"/><Relationship Id="rId4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Application>LibreOffice/24.2.7.2$Linux_X86_64 LibreOffice_project/420$Build-2</Application>
  <AppVersion>15.0000</AppVersion>
  <Pages>12</Pages>
  <Words>1345</Words>
  <Characters>6993</Characters>
  <CharactersWithSpaces>8165</CharactersWithSpaces>
  <Paragraphs>166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Versión corregida: nombres PULL_UP y BUS_PW actualizados según el esquema revisado.</dc:description>
  <dc:language>es-ES</dc:language>
  <cp:lastModifiedBy/>
  <dcterms:modified xsi:type="dcterms:W3CDTF">2026-08-04T16:36:13Z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