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media/image1.png" ContentType="image/png"/>
  <Override PartName="/word/media/image2.png" ContentType="image/png"/>
  <Override PartName="/word/media/image3.png" ContentType="image/png"/>
  <Override PartName="/word/media/image4.png" ContentType="image/png"/>
  <Override PartName="/word/media/image5.png" ContentType="image/png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/>
      </w:pPr>
      <w:r>
        <w:rPr/>
        <w:drawing>
          <wp:inline distT="0" distB="0" distL="0" distR="0">
            <wp:extent cx="2592070" cy="1611630"/>
            <wp:effectExtent l="0" t="0" r="0" b="0"/>
            <wp:docPr id="1" name="Picture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2070" cy="1611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jc w:val="center"/>
        <w:rPr/>
      </w:pPr>
      <w:r>
        <w:rPr>
          <w:b/>
          <w:sz w:val="48"/>
        </w:rPr>
        <w:t>FUENTE DC-DC INDUSTRIAL</w:t>
      </w:r>
    </w:p>
    <w:p>
      <w:pPr>
        <w:pStyle w:val="Normal"/>
        <w:jc w:val="center"/>
        <w:rPr/>
      </w:pPr>
      <w:r>
        <w:rPr>
          <w:b/>
          <w:sz w:val="44"/>
        </w:rPr>
        <w:t>CON SOPORTE PARA RASPBERRY PI</w:t>
      </w:r>
    </w:p>
    <w:p>
      <w:pPr>
        <w:pStyle w:val="Normal"/>
        <w:jc w:val="center"/>
        <w:rPr/>
      </w:pPr>
      <w:r>
        <w:rPr>
          <w:sz w:val="24"/>
        </w:rPr>
        <w:t>Entrada declarada 9-60 V CC · salida nominal 5,</w:t>
      </w:r>
      <w:r>
        <w:rPr>
          <w:sz w:val="24"/>
        </w:rPr>
        <w:t>1</w:t>
      </w:r>
      <w:r>
        <w:rPr>
          <w:sz w:val="24"/>
        </w:rPr>
        <w:t xml:space="preserve"> V por USB-C · montaje sobre placa metálica</w:t>
      </w:r>
    </w:p>
    <w:tbl>
      <w:tblPr>
        <w:tblStyle w:val="TableGrid"/>
        <w:tblW w:w="10200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5100"/>
        <w:gridCol w:w="5099"/>
      </w:tblGrid>
      <w:tr>
        <w:trPr/>
        <w:tc>
          <w:tcPr>
            <w:tcW w:w="5100" w:type="dxa"/>
            <w:tcBorders/>
            <w:shd w:fill="E7E6E6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cs=""/>
                <w:b w:val="false"/>
                <w:kern w:val="0"/>
                <w:sz w:val="18"/>
                <w:szCs w:val="22"/>
                <w:lang w:val="en-US" w:eastAsia="en-US" w:bidi="ar-SA"/>
              </w:rPr>
              <w:t>Producto</w:t>
            </w:r>
          </w:p>
        </w:tc>
        <w:tc>
          <w:tcPr>
            <w:tcW w:w="5099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cs=""/>
                <w:b w:val="false"/>
                <w:kern w:val="0"/>
                <w:sz w:val="18"/>
                <w:szCs w:val="22"/>
                <w:lang w:val="en-US" w:eastAsia="en-US" w:bidi="ar-SA"/>
              </w:rPr>
              <w:t>Fuente DC-DC industrial con soporte para Raspberry Pi</w:t>
            </w:r>
          </w:p>
        </w:tc>
      </w:tr>
      <w:tr>
        <w:trPr/>
        <w:tc>
          <w:tcPr>
            <w:tcW w:w="5100" w:type="dxa"/>
            <w:tcBorders/>
            <w:shd w:fill="E7E6E6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cs=""/>
                <w:b w:val="false"/>
                <w:kern w:val="0"/>
                <w:sz w:val="18"/>
                <w:szCs w:val="22"/>
                <w:lang w:val="en-US" w:eastAsia="en-US" w:bidi="ar-SA"/>
              </w:rPr>
              <w:t>Revisión</w:t>
            </w:r>
          </w:p>
        </w:tc>
        <w:tc>
          <w:tcPr>
            <w:tcW w:w="5099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cs=""/>
                <w:b w:val="false"/>
                <w:kern w:val="0"/>
                <w:sz w:val="18"/>
                <w:szCs w:val="22"/>
                <w:lang w:val="en-US" w:eastAsia="en-US" w:bidi="ar-SA"/>
              </w:rPr>
              <w:t>1.0</w:t>
            </w:r>
          </w:p>
        </w:tc>
      </w:tr>
      <w:tr>
        <w:trPr/>
        <w:tc>
          <w:tcPr>
            <w:tcW w:w="5100" w:type="dxa"/>
            <w:tcBorders/>
            <w:shd w:fill="E7E6E6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cs=""/>
                <w:b w:val="false"/>
                <w:kern w:val="0"/>
                <w:sz w:val="18"/>
                <w:szCs w:val="22"/>
                <w:lang w:val="en-US" w:eastAsia="en-US" w:bidi="ar-SA"/>
              </w:rPr>
              <w:t>Fecha</w:t>
            </w:r>
          </w:p>
        </w:tc>
        <w:tc>
          <w:tcPr>
            <w:tcW w:w="5099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cs=""/>
                <w:b w:val="false"/>
                <w:kern w:val="0"/>
                <w:sz w:val="18"/>
                <w:szCs w:val="22"/>
                <w:lang w:val="en-US" w:eastAsia="en-US" w:bidi="ar-SA"/>
              </w:rPr>
              <w:t>22/07/2026</w:t>
            </w:r>
          </w:p>
        </w:tc>
      </w:tr>
      <w:tr>
        <w:trPr/>
        <w:tc>
          <w:tcPr>
            <w:tcW w:w="5100" w:type="dxa"/>
            <w:tcBorders/>
            <w:shd w:fill="E7E6E6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cs=""/>
                <w:b w:val="false"/>
                <w:kern w:val="0"/>
                <w:sz w:val="18"/>
                <w:szCs w:val="22"/>
                <w:lang w:val="en-US" w:eastAsia="en-US" w:bidi="ar-SA"/>
              </w:rPr>
              <w:t>Controlador principal</w:t>
            </w:r>
          </w:p>
        </w:tc>
        <w:tc>
          <w:tcPr>
            <w:tcW w:w="5099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cs=""/>
                <w:b w:val="false"/>
                <w:kern w:val="0"/>
                <w:sz w:val="18"/>
                <w:szCs w:val="22"/>
                <w:lang w:val="en-US" w:eastAsia="en-US" w:bidi="ar-SA"/>
              </w:rPr>
              <w:t>Texas Instruments TPS40170RGYR</w:t>
            </w:r>
          </w:p>
        </w:tc>
      </w:tr>
      <w:tr>
        <w:trPr/>
        <w:tc>
          <w:tcPr>
            <w:tcW w:w="5100" w:type="dxa"/>
            <w:tcBorders/>
            <w:shd w:fill="E7E6E6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cs=""/>
                <w:b w:val="false"/>
                <w:kern w:val="0"/>
                <w:sz w:val="18"/>
                <w:szCs w:val="22"/>
                <w:lang w:val="en-US" w:eastAsia="en-US" w:bidi="ar-SA"/>
              </w:rPr>
              <w:t>Salida</w:t>
            </w:r>
          </w:p>
        </w:tc>
        <w:tc>
          <w:tcPr>
            <w:tcW w:w="5099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cs=""/>
                <w:b w:val="false"/>
                <w:kern w:val="0"/>
                <w:sz w:val="18"/>
                <w:szCs w:val="22"/>
                <w:lang w:val="en-US" w:eastAsia="en-US" w:bidi="ar-SA"/>
              </w:rPr>
              <w:t>5 V CC nominal mediante USB-C</w:t>
            </w:r>
          </w:p>
        </w:tc>
      </w:tr>
    </w:tbl>
    <w:tbl>
      <w:tblPr>
        <w:tblW w:w="9354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9354"/>
      </w:tblGrid>
      <w:tr>
        <w:trPr/>
        <w:tc>
          <w:tcPr>
            <w:tcW w:w="9354" w:type="dxa"/>
            <w:tcBorders/>
            <w:shd w:fill="F2F2F2"/>
          </w:tcPr>
          <w:p>
            <w:pPr>
              <w:pStyle w:val="Normal"/>
              <w:spacing w:before="0" w:after="200"/>
              <w:jc w:val="center"/>
              <w:rPr/>
            </w:pPr>
            <w:r>
              <w:rPr>
                <w:b/>
                <w:sz w:val="20"/>
              </w:rPr>
              <w:t>IMPORTANTE: La Raspberry Pi, el sistema de refrigeración y sus accesorios no están incluidos. La fotografía muestra un ejemplo de montaje.</w:t>
            </w:r>
          </w:p>
        </w:tc>
      </w:tr>
    </w:tbl>
    <w:p>
      <w:pPr>
        <w:pStyle w:val="Normal"/>
        <w:jc w:val="center"/>
        <w:rPr/>
      </w:pPr>
      <w:r>
        <w:rPr/>
        <w:drawing>
          <wp:inline distT="0" distB="0" distL="0" distR="0">
            <wp:extent cx="5579745" cy="4185285"/>
            <wp:effectExtent l="0" t="0" r="0" b="0"/>
            <wp:docPr id="2" name="Picture 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9745" cy="4185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rPr/>
      </w:pPr>
      <w:r>
        <w:rPr/>
      </w:r>
      <w:r>
        <w:br w:type="page"/>
      </w:r>
    </w:p>
    <w:p>
      <w:pPr>
        <w:pStyle w:val="Heading1"/>
        <w:spacing w:before="0" w:after="80"/>
        <w:rPr/>
      </w:pPr>
      <w:r>
        <w:rPr/>
        <w:t>1. Descripción general</w:t>
      </w:r>
    </w:p>
    <w:p>
      <w:pPr>
        <w:pStyle w:val="Normal"/>
        <w:rPr/>
      </w:pPr>
      <w:r>
        <w:rPr/>
        <w:t>Esta unidad combina una fuente conmutada DC-DC y una placa metálica de soporte para integrar una Raspberry Pi u otro ordenador monoplaca compatible. La entrada se realiza mediante una borna enchufable de dos polos y la salida de 5 V se entrega por un conector USB-C macho orientado al equipo instalado.</w:t>
      </w:r>
    </w:p>
    <w:p>
      <w:pPr>
        <w:pStyle w:val="Normal"/>
        <w:rPr/>
      </w:pPr>
      <w:r>
        <w:rPr/>
        <w:t>El conjunto está pensado para instalaciones industriales, máquinas, armarios eléctricos, sistemas de control y equipos alimentados desde buses de corriente continua. La placa metálica sirve como base mecánica y facilita un montaje ordenado, con puntos de fijación para el ordenador y para el módulo de alimentación.</w:t>
      </w:r>
    </w:p>
    <w:p>
      <w:pPr>
        <w:pStyle w:val="Normal"/>
        <w:rPr>
          <w:b/>
          <w:bCs/>
          <w:sz w:val="28"/>
          <w:szCs w:val="28"/>
        </w:rPr>
      </w:pPr>
      <w:r>
        <w:rPr>
          <w:b/>
          <w:bCs/>
          <w:color w:val="C9211E"/>
          <w:sz w:val="28"/>
          <w:szCs w:val="28"/>
        </w:rPr>
        <w:t>Se ha dispuesto que fuente pueda soportar 60V para asegurar su durabilidad en un entorno industrial y resistencia ante picos ,  DESACONSEJAMOS TOTALMENTE SUPERAR LOS 24VDC POR EL RIESGO DE ELECTROCUCION QUE CONLLEVA.</w:t>
      </w:r>
    </w:p>
    <w:p>
      <w:pPr>
        <w:pStyle w:val="Heading2"/>
        <w:rPr/>
      </w:pPr>
      <w:r>
        <w:rPr/>
        <w:t>1.1 Características principales</w:t>
      </w:r>
    </w:p>
    <w:p>
      <w:pPr>
        <w:pStyle w:val="ListBullet"/>
        <w:numPr>
          <w:ilvl w:val="0"/>
          <w:numId w:val="1"/>
        </w:numPr>
        <w:rPr/>
      </w:pPr>
      <w:r>
        <w:rPr/>
        <w:t>Entrada declarada de 9 a 60 V CC.</w:t>
      </w:r>
    </w:p>
    <w:p>
      <w:pPr>
        <w:pStyle w:val="ListBullet"/>
        <w:numPr>
          <w:ilvl w:val="0"/>
          <w:numId w:val="1"/>
        </w:numPr>
        <w:rPr/>
      </w:pPr>
      <w:r>
        <w:rPr/>
        <w:t>Salida nominal de 5,</w:t>
      </w:r>
      <w:r>
        <w:rPr/>
        <w:t>1</w:t>
      </w:r>
      <w:r>
        <w:rPr/>
        <w:t xml:space="preserve"> V CC por conector USB-C.</w:t>
      </w:r>
    </w:p>
    <w:p>
      <w:pPr>
        <w:pStyle w:val="ListBullet"/>
        <w:numPr>
          <w:ilvl w:val="0"/>
          <w:numId w:val="1"/>
        </w:numPr>
        <w:rPr/>
      </w:pPr>
      <w:r>
        <w:rPr/>
        <w:t>Controlador PWM síncrono TPS40170RGYR.</w:t>
      </w:r>
    </w:p>
    <w:p>
      <w:pPr>
        <w:pStyle w:val="ListBullet"/>
        <w:numPr>
          <w:ilvl w:val="0"/>
          <w:numId w:val="1"/>
        </w:numPr>
        <w:rPr/>
      </w:pPr>
      <w:r>
        <w:rPr/>
        <w:t>Protección de entrada mediante fusible PTC, diodo de protección y TVS.</w:t>
      </w:r>
    </w:p>
    <w:p>
      <w:pPr>
        <w:pStyle w:val="ListBullet"/>
        <w:numPr>
          <w:ilvl w:val="0"/>
          <w:numId w:val="1"/>
        </w:numPr>
        <w:rPr/>
      </w:pPr>
      <w:r>
        <w:rPr/>
        <w:t>Protección TVS en la salida de 5,</w:t>
      </w:r>
      <w:r>
        <w:rPr/>
        <w:t>1</w:t>
      </w:r>
      <w:r>
        <w:rPr/>
        <w:t xml:space="preserve"> V.</w:t>
      </w:r>
    </w:p>
    <w:p>
      <w:pPr>
        <w:pStyle w:val="ListBullet"/>
        <w:numPr>
          <w:ilvl w:val="0"/>
          <w:numId w:val="1"/>
        </w:numPr>
        <w:rPr/>
      </w:pPr>
      <w:r>
        <w:rPr/>
        <w:t>Placa metálica galvanizada con ranuras tipo bocallave y agujeros de montaje.</w:t>
      </w:r>
    </w:p>
    <w:p>
      <w:pPr>
        <w:pStyle w:val="ListBullet"/>
        <w:numPr>
          <w:ilvl w:val="0"/>
          <w:numId w:val="1"/>
        </w:numPr>
        <w:rPr/>
      </w:pPr>
      <w:r>
        <w:rPr/>
        <w:t>Soporte mecánico para Raspberry Pi; otros equipos requieren comprobar dimensiones, taladros y alimentación.</w:t>
      </w:r>
    </w:p>
    <w:p>
      <w:pPr>
        <w:pStyle w:val="ListBullet"/>
        <w:numPr>
          <w:ilvl w:val="0"/>
          <w:numId w:val="1"/>
        </w:numPr>
        <w:rPr/>
      </w:pPr>
      <w:r>
        <w:rPr/>
        <w:t>Diseño con componentes de potencia discretos, bobina de 8,2 µH y condensadores de entrada y salida.</w:t>
      </w:r>
    </w:p>
    <w:p>
      <w:pPr>
        <w:pStyle w:val="ListBullet"/>
        <w:numPr>
          <w:ilvl w:val="0"/>
          <w:numId w:val="1"/>
        </w:numPr>
        <w:rPr/>
      </w:pPr>
      <w:r>
        <w:rPr/>
        <w:t>Corriente de salida máxima 5A.</w:t>
      </w:r>
    </w:p>
    <w:p>
      <w:pPr>
        <w:pStyle w:val="Heading2"/>
        <w:rPr/>
      </w:pPr>
      <w:r>
        <w:rPr/>
      </w:r>
    </w:p>
    <w:p>
      <w:pPr>
        <w:pStyle w:val="Heading1"/>
        <w:rPr/>
      </w:pPr>
      <w:r>
        <w:rPr/>
        <w:t>2. Especificaciones técnicas</w:t>
      </w:r>
    </w:p>
    <w:tbl>
      <w:tblPr>
        <w:tblStyle w:val="TableGrid"/>
        <w:tblW w:w="10200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3400"/>
        <w:gridCol w:w="3400"/>
        <w:gridCol w:w="3400"/>
      </w:tblGrid>
      <w:tr>
        <w:trPr>
          <w:tblHeader w:val="true"/>
        </w:trPr>
        <w:tc>
          <w:tcPr>
            <w:tcW w:w="3400" w:type="dxa"/>
            <w:tcBorders/>
            <w:shd w:fill="000000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cs=""/>
                <w:b/>
                <w:color w:val="FFFFFF"/>
                <w:kern w:val="0"/>
                <w:sz w:val="18"/>
                <w:szCs w:val="22"/>
                <w:lang w:val="en-US" w:eastAsia="en-US" w:bidi="ar-SA"/>
              </w:rPr>
              <w:t>Parámetro</w:t>
            </w:r>
          </w:p>
        </w:tc>
        <w:tc>
          <w:tcPr>
            <w:tcW w:w="3400" w:type="dxa"/>
            <w:tcBorders/>
            <w:shd w:fill="000000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cs=""/>
                <w:b/>
                <w:color w:val="FFFFFF"/>
                <w:kern w:val="0"/>
                <w:sz w:val="18"/>
                <w:szCs w:val="22"/>
                <w:lang w:val="en-US" w:eastAsia="en-US" w:bidi="ar-SA"/>
              </w:rPr>
              <w:t>Valor</w:t>
            </w:r>
          </w:p>
        </w:tc>
        <w:tc>
          <w:tcPr>
            <w:tcW w:w="3400" w:type="dxa"/>
            <w:tcBorders/>
            <w:shd w:fill="000000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cs=""/>
                <w:b/>
                <w:color w:val="FFFFFF"/>
                <w:kern w:val="0"/>
                <w:sz w:val="18"/>
                <w:szCs w:val="22"/>
                <w:lang w:val="en-US" w:eastAsia="en-US" w:bidi="ar-SA"/>
              </w:rPr>
              <w:t>Observaciones</w:t>
            </w:r>
          </w:p>
        </w:tc>
      </w:tr>
      <w:tr>
        <w:trPr/>
        <w:tc>
          <w:tcPr>
            <w:tcW w:w="3400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cs=""/>
                <w:b w:val="false"/>
                <w:kern w:val="0"/>
                <w:sz w:val="17"/>
                <w:szCs w:val="22"/>
                <w:lang w:val="en-US" w:eastAsia="en-US" w:bidi="ar-SA"/>
              </w:rPr>
              <w:t>Tensión de entrada</w:t>
            </w:r>
          </w:p>
        </w:tc>
        <w:tc>
          <w:tcPr>
            <w:tcW w:w="3400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cs=""/>
                <w:b w:val="false"/>
                <w:kern w:val="0"/>
                <w:sz w:val="17"/>
                <w:szCs w:val="22"/>
                <w:lang w:val="en-US" w:eastAsia="en-US" w:bidi="ar-SA"/>
              </w:rPr>
              <w:t>9-60 V CC</w:t>
            </w:r>
          </w:p>
        </w:tc>
        <w:tc>
          <w:tcPr>
            <w:tcW w:w="3400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cs=""/>
                <w:b w:val="false"/>
                <w:kern w:val="0"/>
                <w:sz w:val="17"/>
                <w:szCs w:val="22"/>
                <w:lang w:val="en-US" w:eastAsia="en-US" w:bidi="ar-SA"/>
              </w:rPr>
              <w:t>Rango declarado en la imagen comercial suministrada.</w:t>
            </w:r>
          </w:p>
        </w:tc>
      </w:tr>
      <w:tr>
        <w:trPr/>
        <w:tc>
          <w:tcPr>
            <w:tcW w:w="3400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cs=""/>
                <w:b w:val="false"/>
                <w:kern w:val="0"/>
                <w:sz w:val="17"/>
                <w:szCs w:val="22"/>
                <w:lang w:val="en-US" w:eastAsia="en-US" w:bidi="ar-SA"/>
              </w:rPr>
              <w:t>Tensión de salida</w:t>
            </w:r>
          </w:p>
        </w:tc>
        <w:tc>
          <w:tcPr>
            <w:tcW w:w="3400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cs=""/>
                <w:b w:val="false"/>
                <w:kern w:val="0"/>
                <w:sz w:val="17"/>
                <w:szCs w:val="22"/>
                <w:lang w:val="en-US" w:eastAsia="en-US" w:bidi="ar-SA"/>
              </w:rPr>
              <w:t>5 V CC nominal</w:t>
            </w:r>
          </w:p>
        </w:tc>
        <w:tc>
          <w:tcPr>
            <w:tcW w:w="3400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cs=""/>
                <w:b w:val="false"/>
                <w:kern w:val="0"/>
                <w:sz w:val="17"/>
                <w:szCs w:val="22"/>
                <w:lang w:val="en-US" w:eastAsia="en-US" w:bidi="ar-SA"/>
              </w:rPr>
              <w:t>La red del esquema está identificada como 5v.</w:t>
            </w:r>
          </w:p>
        </w:tc>
      </w:tr>
      <w:tr>
        <w:trPr/>
        <w:tc>
          <w:tcPr>
            <w:tcW w:w="3400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cs=""/>
                <w:b w:val="false"/>
                <w:kern w:val="0"/>
                <w:sz w:val="17"/>
                <w:szCs w:val="22"/>
                <w:lang w:val="en-US" w:eastAsia="en-US" w:bidi="ar-SA"/>
              </w:rPr>
              <w:t>Conector de entrada</w:t>
            </w:r>
          </w:p>
        </w:tc>
        <w:tc>
          <w:tcPr>
            <w:tcW w:w="3400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cs=""/>
                <w:b w:val="false"/>
                <w:kern w:val="0"/>
                <w:sz w:val="17"/>
                <w:szCs w:val="22"/>
                <w:lang w:val="en-US" w:eastAsia="en-US" w:bidi="ar-SA"/>
              </w:rPr>
              <w:t>Borna enchufable de 2 polos, paso 5,08 mm</w:t>
            </w:r>
          </w:p>
        </w:tc>
        <w:tc>
          <w:tcPr>
            <w:tcW w:w="3400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cs=""/>
                <w:b w:val="false"/>
                <w:kern w:val="0"/>
                <w:sz w:val="17"/>
                <w:szCs w:val="22"/>
                <w:lang w:val="en-US" w:eastAsia="en-US" w:bidi="ar-SA"/>
              </w:rPr>
              <w:t>Modelo indicado: WJ2EDGRC-5.08-2P.</w:t>
            </w:r>
          </w:p>
        </w:tc>
      </w:tr>
      <w:tr>
        <w:trPr/>
        <w:tc>
          <w:tcPr>
            <w:tcW w:w="3400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cs=""/>
                <w:b w:val="false"/>
                <w:kern w:val="0"/>
                <w:sz w:val="17"/>
                <w:szCs w:val="22"/>
                <w:lang w:val="en-US" w:eastAsia="en-US" w:bidi="ar-SA"/>
              </w:rPr>
              <w:t>Conector de salida</w:t>
            </w:r>
          </w:p>
        </w:tc>
        <w:tc>
          <w:tcPr>
            <w:tcW w:w="3400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cs=""/>
                <w:b w:val="false"/>
                <w:kern w:val="0"/>
                <w:sz w:val="17"/>
                <w:szCs w:val="22"/>
                <w:lang w:val="en-US" w:eastAsia="en-US" w:bidi="ar-SA"/>
              </w:rPr>
              <w:t>USB-C macho</w:t>
            </w:r>
          </w:p>
        </w:tc>
        <w:tc>
          <w:tcPr>
            <w:tcW w:w="3400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cs=""/>
                <w:b w:val="false"/>
                <w:kern w:val="0"/>
                <w:sz w:val="17"/>
                <w:szCs w:val="22"/>
                <w:lang w:val="en-US" w:eastAsia="en-US" w:bidi="ar-SA"/>
              </w:rPr>
              <w:t>Se usa como salida de alimentación hacia la Raspberry Pi o equipo compatible.</w:t>
            </w:r>
          </w:p>
        </w:tc>
      </w:tr>
      <w:tr>
        <w:trPr/>
        <w:tc>
          <w:tcPr>
            <w:tcW w:w="3400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cs=""/>
                <w:b w:val="false"/>
                <w:kern w:val="0"/>
                <w:sz w:val="17"/>
                <w:szCs w:val="22"/>
                <w:lang w:val="en-US" w:eastAsia="en-US" w:bidi="ar-SA"/>
              </w:rPr>
              <w:t>Controlador</w:t>
            </w:r>
          </w:p>
        </w:tc>
        <w:tc>
          <w:tcPr>
            <w:tcW w:w="3400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cs=""/>
                <w:b w:val="false"/>
                <w:kern w:val="0"/>
                <w:sz w:val="17"/>
                <w:szCs w:val="22"/>
                <w:lang w:val="en-US" w:eastAsia="en-US" w:bidi="ar-SA"/>
              </w:rPr>
              <w:t>TPS40170RGYR</w:t>
            </w:r>
          </w:p>
        </w:tc>
        <w:tc>
          <w:tcPr>
            <w:tcW w:w="3400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cs=""/>
                <w:b w:val="false"/>
                <w:kern w:val="0"/>
                <w:sz w:val="17"/>
                <w:szCs w:val="22"/>
                <w:lang w:val="en-US" w:eastAsia="en-US" w:bidi="ar-SA"/>
              </w:rPr>
              <w:t>Controlador buck síncrono de TI.</w:t>
            </w:r>
          </w:p>
        </w:tc>
      </w:tr>
      <w:tr>
        <w:trPr/>
        <w:tc>
          <w:tcPr>
            <w:tcW w:w="3400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cs=""/>
                <w:b w:val="false"/>
                <w:kern w:val="0"/>
                <w:sz w:val="17"/>
                <w:szCs w:val="22"/>
                <w:lang w:val="en-US" w:eastAsia="en-US" w:bidi="ar-SA"/>
              </w:rPr>
              <w:t>MOSFET superior</w:t>
            </w:r>
          </w:p>
        </w:tc>
        <w:tc>
          <w:tcPr>
            <w:tcW w:w="3400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cs=""/>
                <w:b w:val="false"/>
                <w:kern w:val="0"/>
                <w:sz w:val="17"/>
                <w:szCs w:val="22"/>
                <w:lang w:val="en-US" w:eastAsia="en-US" w:bidi="ar-SA"/>
              </w:rPr>
              <w:t>HSBB0096</w:t>
            </w:r>
          </w:p>
        </w:tc>
        <w:tc>
          <w:tcPr>
            <w:tcW w:w="3400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cs=""/>
                <w:b w:val="false"/>
                <w:kern w:val="0"/>
                <w:sz w:val="17"/>
                <w:szCs w:val="22"/>
                <w:lang w:val="en-US" w:eastAsia="en-US" w:bidi="ar-SA"/>
              </w:rPr>
              <w:t>Q1 en el esquema.</w:t>
            </w:r>
          </w:p>
        </w:tc>
      </w:tr>
      <w:tr>
        <w:trPr/>
        <w:tc>
          <w:tcPr>
            <w:tcW w:w="3400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cs=""/>
                <w:b w:val="false"/>
                <w:kern w:val="0"/>
                <w:sz w:val="17"/>
                <w:szCs w:val="22"/>
                <w:lang w:val="en-US" w:eastAsia="en-US" w:bidi="ar-SA"/>
              </w:rPr>
              <w:t>MOSFET inferior</w:t>
            </w:r>
          </w:p>
        </w:tc>
        <w:tc>
          <w:tcPr>
            <w:tcW w:w="3400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cs=""/>
                <w:b w:val="false"/>
                <w:kern w:val="0"/>
                <w:sz w:val="17"/>
                <w:szCs w:val="22"/>
                <w:lang w:val="en-US" w:eastAsia="en-US" w:bidi="ar-SA"/>
              </w:rPr>
              <w:t>AGM609AP</w:t>
            </w:r>
          </w:p>
        </w:tc>
        <w:tc>
          <w:tcPr>
            <w:tcW w:w="3400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cs=""/>
                <w:b w:val="false"/>
                <w:kern w:val="0"/>
                <w:sz w:val="17"/>
                <w:szCs w:val="22"/>
                <w:lang w:val="en-US" w:eastAsia="en-US" w:bidi="ar-SA"/>
              </w:rPr>
              <w:t>Q2 en el esquema.</w:t>
            </w:r>
          </w:p>
        </w:tc>
      </w:tr>
      <w:tr>
        <w:trPr/>
        <w:tc>
          <w:tcPr>
            <w:tcW w:w="3400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cs=""/>
                <w:b w:val="false"/>
                <w:kern w:val="0"/>
                <w:sz w:val="17"/>
                <w:szCs w:val="22"/>
                <w:lang w:val="en-US" w:eastAsia="en-US" w:bidi="ar-SA"/>
              </w:rPr>
              <w:t>Inductor</w:t>
            </w:r>
          </w:p>
        </w:tc>
        <w:tc>
          <w:tcPr>
            <w:tcW w:w="3400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cs=""/>
                <w:b w:val="false"/>
                <w:kern w:val="0"/>
                <w:sz w:val="17"/>
                <w:szCs w:val="22"/>
                <w:lang w:val="en-US" w:eastAsia="en-US" w:bidi="ar-SA"/>
              </w:rPr>
              <w:t>8,2 µH</w:t>
            </w:r>
          </w:p>
        </w:tc>
        <w:tc>
          <w:tcPr>
            <w:tcW w:w="3400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cs=""/>
                <w:b w:val="false"/>
                <w:kern w:val="0"/>
                <w:sz w:val="17"/>
                <w:szCs w:val="22"/>
                <w:lang w:val="en-US" w:eastAsia="en-US" w:bidi="ar-SA"/>
              </w:rPr>
              <w:t>L1.</w:t>
            </w:r>
          </w:p>
        </w:tc>
      </w:tr>
      <w:tr>
        <w:trPr/>
        <w:tc>
          <w:tcPr>
            <w:tcW w:w="3400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cs=""/>
                <w:b w:val="false"/>
                <w:kern w:val="0"/>
                <w:sz w:val="17"/>
                <w:szCs w:val="22"/>
                <w:lang w:val="en-US" w:eastAsia="en-US" w:bidi="ar-SA"/>
              </w:rPr>
              <w:t>Fusible de entrada</w:t>
            </w:r>
          </w:p>
        </w:tc>
        <w:tc>
          <w:tcPr>
            <w:tcW w:w="3400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cs=""/>
                <w:b w:val="false"/>
                <w:kern w:val="0"/>
                <w:sz w:val="17"/>
                <w:szCs w:val="22"/>
                <w:lang w:val="en-US" w:eastAsia="en-US" w:bidi="ar-SA"/>
              </w:rPr>
              <w:t>BSMD3425-260-60V</w:t>
            </w:r>
          </w:p>
        </w:tc>
        <w:tc>
          <w:tcPr>
            <w:tcW w:w="3400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cs=""/>
                <w:b w:val="false"/>
                <w:kern w:val="0"/>
                <w:sz w:val="17"/>
                <w:szCs w:val="22"/>
                <w:lang w:val="en-US" w:eastAsia="en-US" w:bidi="ar-SA"/>
              </w:rPr>
              <w:t>F1, PTC rearmable según referencia.</w:t>
            </w:r>
          </w:p>
        </w:tc>
      </w:tr>
      <w:tr>
        <w:trPr/>
        <w:tc>
          <w:tcPr>
            <w:tcW w:w="3400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cs=""/>
                <w:b w:val="false"/>
                <w:kern w:val="0"/>
                <w:sz w:val="17"/>
                <w:szCs w:val="22"/>
                <w:lang w:val="en-US" w:eastAsia="en-US" w:bidi="ar-SA"/>
              </w:rPr>
              <w:t>TVS de entrada</w:t>
            </w:r>
          </w:p>
        </w:tc>
        <w:tc>
          <w:tcPr>
            <w:tcW w:w="3400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cs=""/>
                <w:b w:val="false"/>
                <w:kern w:val="0"/>
                <w:sz w:val="17"/>
                <w:szCs w:val="22"/>
                <w:lang w:val="en-US" w:eastAsia="en-US" w:bidi="ar-SA"/>
              </w:rPr>
              <w:t>SMBJ60A</w:t>
            </w:r>
          </w:p>
        </w:tc>
        <w:tc>
          <w:tcPr>
            <w:tcW w:w="3400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cs=""/>
                <w:b w:val="false"/>
                <w:kern w:val="0"/>
                <w:sz w:val="17"/>
                <w:szCs w:val="22"/>
                <w:lang w:val="en-US" w:eastAsia="en-US" w:bidi="ar-SA"/>
              </w:rPr>
              <w:t>D2.</w:t>
            </w:r>
          </w:p>
        </w:tc>
      </w:tr>
      <w:tr>
        <w:trPr/>
        <w:tc>
          <w:tcPr>
            <w:tcW w:w="3400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cs=""/>
                <w:b w:val="false"/>
                <w:kern w:val="0"/>
                <w:sz w:val="17"/>
                <w:szCs w:val="22"/>
                <w:lang w:val="en-US" w:eastAsia="en-US" w:bidi="ar-SA"/>
              </w:rPr>
              <w:t>Protección serie de entrada</w:t>
            </w:r>
          </w:p>
        </w:tc>
        <w:tc>
          <w:tcPr>
            <w:tcW w:w="3400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cs=""/>
                <w:b w:val="false"/>
                <w:kern w:val="0"/>
                <w:sz w:val="17"/>
                <w:szCs w:val="22"/>
                <w:lang w:val="en-US" w:eastAsia="en-US" w:bidi="ar-SA"/>
              </w:rPr>
              <w:t>SB10100</w:t>
            </w:r>
          </w:p>
        </w:tc>
        <w:tc>
          <w:tcPr>
            <w:tcW w:w="3400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cs=""/>
                <w:b w:val="false"/>
                <w:kern w:val="0"/>
                <w:sz w:val="17"/>
                <w:szCs w:val="22"/>
                <w:lang w:val="en-US" w:eastAsia="en-US" w:bidi="ar-SA"/>
              </w:rPr>
              <w:t>D1.</w:t>
            </w:r>
          </w:p>
        </w:tc>
      </w:tr>
      <w:tr>
        <w:trPr/>
        <w:tc>
          <w:tcPr>
            <w:tcW w:w="3400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cs=""/>
                <w:b w:val="false"/>
                <w:kern w:val="0"/>
                <w:sz w:val="17"/>
                <w:szCs w:val="22"/>
                <w:lang w:val="en-US" w:eastAsia="en-US" w:bidi="ar-SA"/>
              </w:rPr>
              <w:t>TVS de salida</w:t>
            </w:r>
          </w:p>
        </w:tc>
        <w:tc>
          <w:tcPr>
            <w:tcW w:w="3400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cs=""/>
                <w:b w:val="false"/>
                <w:kern w:val="0"/>
                <w:sz w:val="17"/>
                <w:szCs w:val="22"/>
                <w:lang w:val="en-US" w:eastAsia="en-US" w:bidi="ar-SA"/>
              </w:rPr>
              <w:t>SMBJ6.0A</w:t>
            </w:r>
          </w:p>
        </w:tc>
        <w:tc>
          <w:tcPr>
            <w:tcW w:w="3400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cs=""/>
                <w:b w:val="false"/>
                <w:kern w:val="0"/>
                <w:sz w:val="17"/>
                <w:szCs w:val="22"/>
                <w:lang w:val="en-US" w:eastAsia="en-US" w:bidi="ar-SA"/>
              </w:rPr>
              <w:t>D3.</w:t>
            </w:r>
          </w:p>
        </w:tc>
      </w:tr>
      <w:tr>
        <w:trPr/>
        <w:tc>
          <w:tcPr>
            <w:tcW w:w="3400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cs=""/>
                <w:b w:val="false"/>
                <w:kern w:val="0"/>
                <w:sz w:val="17"/>
                <w:szCs w:val="22"/>
                <w:lang w:val="en-US" w:eastAsia="en-US" w:bidi="ar-SA"/>
              </w:rPr>
              <w:t>Capacidad principal de entrada</w:t>
            </w:r>
          </w:p>
        </w:tc>
        <w:tc>
          <w:tcPr>
            <w:tcW w:w="3400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cs=""/>
                <w:b w:val="false"/>
                <w:kern w:val="0"/>
                <w:sz w:val="17"/>
                <w:szCs w:val="22"/>
                <w:lang w:val="en-US" w:eastAsia="en-US" w:bidi="ar-SA"/>
              </w:rPr>
              <w:t>220 µF + condensadores cerámicos</w:t>
            </w:r>
          </w:p>
        </w:tc>
        <w:tc>
          <w:tcPr>
            <w:tcW w:w="3400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cs=""/>
                <w:b w:val="false"/>
                <w:kern w:val="0"/>
                <w:sz w:val="17"/>
                <w:szCs w:val="22"/>
                <w:lang w:val="en-US" w:eastAsia="en-US" w:bidi="ar-SA"/>
              </w:rPr>
              <w:t>C1 y C2-C4/C18.</w:t>
            </w:r>
          </w:p>
        </w:tc>
      </w:tr>
      <w:tr>
        <w:trPr/>
        <w:tc>
          <w:tcPr>
            <w:tcW w:w="3400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cs=""/>
                <w:b w:val="false"/>
                <w:kern w:val="0"/>
                <w:sz w:val="17"/>
                <w:szCs w:val="22"/>
                <w:lang w:val="en-US" w:eastAsia="en-US" w:bidi="ar-SA"/>
              </w:rPr>
              <w:t>Capacidad principal de salida</w:t>
            </w:r>
          </w:p>
        </w:tc>
        <w:tc>
          <w:tcPr>
            <w:tcW w:w="3400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cs=""/>
                <w:b w:val="false"/>
                <w:kern w:val="0"/>
                <w:sz w:val="17"/>
                <w:szCs w:val="22"/>
                <w:lang w:val="en-US" w:eastAsia="en-US" w:bidi="ar-SA"/>
              </w:rPr>
              <w:t>470 µF + condensadores cerámicos</w:t>
            </w:r>
          </w:p>
        </w:tc>
        <w:tc>
          <w:tcPr>
            <w:tcW w:w="3400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cs=""/>
                <w:b w:val="false"/>
                <w:kern w:val="0"/>
                <w:sz w:val="17"/>
                <w:szCs w:val="22"/>
                <w:lang w:val="en-US" w:eastAsia="en-US" w:bidi="ar-SA"/>
              </w:rPr>
              <w:t>C19 y C5-C8.</w:t>
            </w:r>
          </w:p>
        </w:tc>
      </w:tr>
      <w:tr>
        <w:trPr>
          <w:trHeight w:val="78" w:hRule="atLeast"/>
        </w:trPr>
        <w:tc>
          <w:tcPr>
            <w:tcW w:w="3400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cs=""/>
                <w:b w:val="false"/>
                <w:kern w:val="0"/>
                <w:sz w:val="17"/>
                <w:szCs w:val="22"/>
                <w:lang w:val="en-US" w:eastAsia="en-US" w:bidi="ar-SA"/>
              </w:rPr>
              <w:t>Corriente máxima de salida</w:t>
            </w:r>
          </w:p>
        </w:tc>
        <w:tc>
          <w:tcPr>
            <w:tcW w:w="3400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cs=""/>
                <w:b w:val="false"/>
                <w:kern w:val="0"/>
                <w:sz w:val="17"/>
                <w:szCs w:val="22"/>
                <w:lang w:val="en-US" w:eastAsia="en-US" w:bidi="ar-SA"/>
              </w:rPr>
              <w:t>5A</w:t>
            </w:r>
          </w:p>
        </w:tc>
        <w:tc>
          <w:tcPr>
            <w:tcW w:w="3400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 w:val="false"/>
                <w:sz w:val="17"/>
              </w:rPr>
            </w:pPr>
            <w:r>
              <w:rPr>
                <w:rFonts w:cs=""/>
                <w:kern w:val="0"/>
                <w:szCs w:val="22"/>
                <w:lang w:val="en-US" w:eastAsia="en-US" w:bidi="ar-SA"/>
              </w:rPr>
            </w:r>
          </w:p>
        </w:tc>
      </w:tr>
    </w:tbl>
    <w:tbl>
      <w:tblPr>
        <w:tblW w:w="9354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9354"/>
      </w:tblGrid>
      <w:tr>
        <w:trPr/>
        <w:tc>
          <w:tcPr>
            <w:tcW w:w="9354" w:type="dxa"/>
            <w:tcBorders/>
            <w:shd w:fill="F2F2F2"/>
          </w:tcPr>
          <w:p>
            <w:pPr>
              <w:pStyle w:val="Normal"/>
              <w:spacing w:before="0" w:after="200"/>
              <w:jc w:val="center"/>
              <w:rPr/>
            </w:pPr>
            <w:r>
              <w:rPr>
                <w:b/>
                <w:sz w:val="20"/>
              </w:rPr>
              <w:t>ADVERTENCIA: No conectar una carga que supere la capacidad real del módulo. La corriente máxima debe fijarse después de ensayos con la caja, ventilación, temperatura ambiente y cableado definitivos.</w:t>
            </w:r>
          </w:p>
        </w:tc>
      </w:tr>
    </w:tbl>
    <w:p>
      <w:pPr>
        <w:pStyle w:val="Normal"/>
        <w:rPr/>
      </w:pPr>
      <w:r>
        <w:rPr/>
      </w:r>
      <w:r>
        <w:br w:type="page"/>
      </w:r>
    </w:p>
    <w:p>
      <w:pPr>
        <w:pStyle w:val="Heading1"/>
        <w:spacing w:before="0" w:after="80"/>
        <w:rPr/>
      </w:pPr>
      <w:r>
        <w:rPr/>
        <w:t>3. Arquitectura eléctrica y protecciones</w:t>
      </w:r>
    </w:p>
    <w:p>
      <w:pPr>
        <w:pStyle w:val="Heading2"/>
        <w:rPr/>
      </w:pPr>
      <w:r>
        <w:rPr/>
        <w:t>3.1 Etapa de entrada</w:t>
      </w:r>
    </w:p>
    <w:p>
      <w:pPr>
        <w:pStyle w:val="Normal"/>
        <w:rPr/>
      </w:pPr>
      <w:r>
        <w:rPr/>
        <w:t>La alimentación entra por CN23. El esquema incorpora un fusible PTC F1, un diodo SB10100 en serie y un supresor transitorio SMBJ60A conectado entre DCIN y GND. Esta combinación ofrece protección frente a sobrecorriente, conexión incorrecta y transitorios, aunque no sustituye las protecciones exigidas por la instalación.</w:t>
      </w:r>
    </w:p>
    <w:p>
      <w:pPr>
        <w:pStyle w:val="Heading2"/>
        <w:rPr/>
      </w:pPr>
      <w:r>
        <w:rPr/>
        <w:t>3.2 Conversión DC-DC</w:t>
      </w:r>
    </w:p>
    <w:p>
      <w:pPr>
        <w:pStyle w:val="Normal"/>
        <w:rPr/>
      </w:pPr>
      <w:r>
        <w:rPr/>
        <w:t>El TPS40170RGYR controla una etapa buck síncrona formada por Q1, Q2 y la bobina L1 de 8,2 µH. La red de realimentación regula la salida identificada como 5v. Los condensadores de entrada y salida reducen el rizado y aportan reserva de corriente durante cambios rápidos de carga.</w:t>
      </w:r>
    </w:p>
    <w:p>
      <w:pPr>
        <w:pStyle w:val="Heading2"/>
        <w:rPr/>
      </w:pPr>
      <w:r>
        <w:rPr/>
        <w:t>3.3 Protección de salida</w:t>
      </w:r>
    </w:p>
    <w:p>
      <w:pPr>
        <w:pStyle w:val="Normal"/>
        <w:rPr/>
      </w:pPr>
      <w:r>
        <w:rPr/>
        <w:t>La salida incluye un TVS SMBJ6.0A. El conector USB-C se usa como enlace de potencia; el esquema no muestra negociación USB Power Delivery. El equipo conectado debe aceptar 5 V directamente.</w:t>
      </w:r>
    </w:p>
    <w:p>
      <w:pPr>
        <w:pStyle w:val="Normal"/>
        <w:jc w:val="center"/>
        <w:rPr/>
      </w:pPr>
      <w:r>
        <w:rPr/>
        <w:drawing>
          <wp:inline distT="0" distB="0" distL="0" distR="0">
            <wp:extent cx="6120130" cy="4331970"/>
            <wp:effectExtent l="0" t="0" r="0" b="0"/>
            <wp:docPr id="3" name="Picture 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331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jc w:val="center"/>
        <w:rPr/>
      </w:pPr>
      <w:r>
        <w:rPr>
          <w:i/>
        </w:rPr>
        <w:t>Figura 1. Esquema eléctrico suministrado, revisión 1.0.</w:t>
      </w:r>
    </w:p>
    <w:p>
      <w:pPr>
        <w:pStyle w:val="Normal"/>
        <w:rPr/>
      </w:pPr>
      <w:r>
        <w:rPr/>
      </w:r>
      <w:r>
        <w:br w:type="page"/>
      </w:r>
    </w:p>
    <w:p>
      <w:pPr>
        <w:pStyle w:val="Heading1"/>
        <w:spacing w:before="0" w:after="80"/>
        <w:rPr/>
      </w:pPr>
      <w:r>
        <w:rPr/>
        <w:t>4. Conexiones</w:t>
      </w:r>
    </w:p>
    <w:p>
      <w:pPr>
        <w:pStyle w:val="Heading2"/>
        <w:rPr/>
      </w:pPr>
      <w:r>
        <w:rPr/>
        <w:t>4.1 Entrada DC</w:t>
      </w:r>
    </w:p>
    <w:tbl>
      <w:tblPr>
        <w:tblStyle w:val="TableGrid"/>
        <w:tblW w:w="10200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3400"/>
        <w:gridCol w:w="3400"/>
        <w:gridCol w:w="3400"/>
      </w:tblGrid>
      <w:tr>
        <w:trPr/>
        <w:tc>
          <w:tcPr>
            <w:tcW w:w="3400" w:type="dxa"/>
            <w:tcBorders/>
            <w:shd w:fill="000000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cs=""/>
                <w:b/>
                <w:color w:val="FFFFFF"/>
                <w:kern w:val="0"/>
                <w:sz w:val="18"/>
                <w:szCs w:val="22"/>
                <w:lang w:val="en-US" w:eastAsia="en-US" w:bidi="ar-SA"/>
              </w:rPr>
              <w:t>Terminal</w:t>
            </w:r>
          </w:p>
        </w:tc>
        <w:tc>
          <w:tcPr>
            <w:tcW w:w="3400" w:type="dxa"/>
            <w:tcBorders/>
            <w:shd w:fill="000000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cs=""/>
                <w:b/>
                <w:color w:val="FFFFFF"/>
                <w:kern w:val="0"/>
                <w:sz w:val="18"/>
                <w:szCs w:val="22"/>
                <w:lang w:val="en-US" w:eastAsia="en-US" w:bidi="ar-SA"/>
              </w:rPr>
              <w:t>Señal</w:t>
            </w:r>
          </w:p>
        </w:tc>
        <w:tc>
          <w:tcPr>
            <w:tcW w:w="3400" w:type="dxa"/>
            <w:tcBorders/>
            <w:shd w:fill="000000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cs=""/>
                <w:b/>
                <w:color w:val="FFFFFF"/>
                <w:kern w:val="0"/>
                <w:sz w:val="18"/>
                <w:szCs w:val="22"/>
                <w:lang w:val="en-US" w:eastAsia="en-US" w:bidi="ar-SA"/>
              </w:rPr>
              <w:t>Descripción</w:t>
            </w:r>
          </w:p>
        </w:tc>
      </w:tr>
      <w:tr>
        <w:trPr/>
        <w:tc>
          <w:tcPr>
            <w:tcW w:w="3400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cs=""/>
                <w:b w:val="false"/>
                <w:kern w:val="0"/>
                <w:sz w:val="18"/>
                <w:szCs w:val="22"/>
                <w:lang w:val="en-US" w:eastAsia="en-US" w:bidi="ar-SA"/>
              </w:rPr>
              <w:t>1</w:t>
            </w:r>
          </w:p>
        </w:tc>
        <w:tc>
          <w:tcPr>
            <w:tcW w:w="3400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cs=""/>
                <w:b w:val="false"/>
                <w:kern w:val="0"/>
                <w:sz w:val="18"/>
                <w:szCs w:val="22"/>
                <w:lang w:val="en-US" w:eastAsia="en-US" w:bidi="ar-SA"/>
              </w:rPr>
              <w:t>DCIN / +</w:t>
            </w:r>
          </w:p>
        </w:tc>
        <w:tc>
          <w:tcPr>
            <w:tcW w:w="3400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cs=""/>
                <w:b w:val="false"/>
                <w:kern w:val="0"/>
                <w:sz w:val="18"/>
                <w:szCs w:val="22"/>
                <w:lang w:val="en-US" w:eastAsia="en-US" w:bidi="ar-SA"/>
              </w:rPr>
              <w:t>Positivo de entrada, 9-60 V CC.</w:t>
            </w:r>
          </w:p>
        </w:tc>
      </w:tr>
      <w:tr>
        <w:trPr/>
        <w:tc>
          <w:tcPr>
            <w:tcW w:w="3400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cs=""/>
                <w:b w:val="false"/>
                <w:kern w:val="0"/>
                <w:sz w:val="18"/>
                <w:szCs w:val="22"/>
                <w:lang w:val="en-US" w:eastAsia="en-US" w:bidi="ar-SA"/>
              </w:rPr>
              <w:t>2</w:t>
            </w:r>
          </w:p>
        </w:tc>
        <w:tc>
          <w:tcPr>
            <w:tcW w:w="3400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cs=""/>
                <w:b w:val="false"/>
                <w:kern w:val="0"/>
                <w:sz w:val="18"/>
                <w:szCs w:val="22"/>
                <w:lang w:val="en-US" w:eastAsia="en-US" w:bidi="ar-SA"/>
              </w:rPr>
              <w:t>GND / -</w:t>
            </w:r>
          </w:p>
        </w:tc>
        <w:tc>
          <w:tcPr>
            <w:tcW w:w="3400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cs=""/>
                <w:b w:val="false"/>
                <w:kern w:val="0"/>
                <w:sz w:val="18"/>
                <w:szCs w:val="22"/>
                <w:lang w:val="en-US" w:eastAsia="en-US" w:bidi="ar-SA"/>
              </w:rPr>
              <w:t>Retorno de la alimentación.</w:t>
            </w:r>
          </w:p>
        </w:tc>
      </w:tr>
    </w:tbl>
    <w:p>
      <w:pPr>
        <w:pStyle w:val="Heading2"/>
        <w:rPr/>
      </w:pPr>
      <w:r>
        <w:rPr/>
        <w:t>4.2 Salida USB-C</w:t>
      </w:r>
    </w:p>
    <w:p>
      <w:pPr>
        <w:pStyle w:val="Normal"/>
        <w:rPr/>
      </w:pPr>
      <w:r>
        <w:rPr/>
        <w:t>El conector USB-C macho está cableado como salida de 5 V y GND. No se debe usar como puerto de datos. Antes de conectar un equipo distinto de una Raspberry Pi, verifique la tensión requerida, el tipo de conector, la polaridad y el consumo máximo.</w:t>
      </w:r>
    </w:p>
    <w:p>
      <w:pPr>
        <w:pStyle w:val="Heading2"/>
        <w:rPr/>
      </w:pPr>
      <w:r>
        <w:rPr/>
        <w:t>4.3 Polaridad y cableado</w:t>
      </w:r>
    </w:p>
    <w:p>
      <w:pPr>
        <w:pStyle w:val="ListBullet"/>
        <w:numPr>
          <w:ilvl w:val="0"/>
          <w:numId w:val="1"/>
        </w:numPr>
        <w:rPr/>
      </w:pPr>
      <w:r>
        <w:rPr/>
        <w:t>Conectar siempre con la alimentación desconectada.</w:t>
      </w:r>
    </w:p>
    <w:p>
      <w:pPr>
        <w:pStyle w:val="ListBullet"/>
        <w:numPr>
          <w:ilvl w:val="0"/>
          <w:numId w:val="1"/>
        </w:numPr>
        <w:rPr/>
      </w:pPr>
      <w:r>
        <w:rPr/>
        <w:t>Comprobar dos veces la polaridad antes de energizar.</w:t>
      </w:r>
    </w:p>
    <w:p>
      <w:pPr>
        <w:pStyle w:val="ListBullet"/>
        <w:numPr>
          <w:ilvl w:val="0"/>
          <w:numId w:val="1"/>
        </w:numPr>
        <w:rPr/>
      </w:pPr>
      <w:r>
        <w:rPr/>
        <w:t>Usar cable con sección adecuada a la corriente y longitud de la instalación.</w:t>
      </w:r>
    </w:p>
    <w:p>
      <w:pPr>
        <w:pStyle w:val="ListBullet"/>
        <w:numPr>
          <w:ilvl w:val="0"/>
          <w:numId w:val="1"/>
        </w:numPr>
        <w:rPr/>
      </w:pPr>
      <w:r>
        <w:rPr/>
        <w:t>Evitar bucles de cable y mantener la entrada alejada de señales sensibles.</w:t>
      </w:r>
    </w:p>
    <w:p>
      <w:pPr>
        <w:pStyle w:val="ListBullet"/>
        <w:numPr>
          <w:ilvl w:val="0"/>
          <w:numId w:val="1"/>
        </w:numPr>
        <w:rPr/>
      </w:pPr>
      <w:r>
        <w:rPr/>
        <w:t>Instalar una protección externa adecuada cerca de la fuente principal cuando la normativa o el equipo lo requieran.</w:t>
      </w:r>
    </w:p>
    <w:tbl>
      <w:tblPr>
        <w:tblW w:w="9354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9354"/>
      </w:tblGrid>
      <w:tr>
        <w:trPr/>
        <w:tc>
          <w:tcPr>
            <w:tcW w:w="9354" w:type="dxa"/>
            <w:tcBorders/>
            <w:shd w:fill="F2F2F2"/>
          </w:tcPr>
          <w:p>
            <w:pPr>
              <w:pStyle w:val="Normal"/>
              <w:spacing w:before="0" w:after="200"/>
              <w:jc w:val="center"/>
              <w:rPr/>
            </w:pPr>
            <w:r>
              <w:rPr>
                <w:b/>
                <w:sz w:val="20"/>
              </w:rPr>
              <w:t>PELIGRO: Una inversión de polaridad o una sobretensión fuera del rango declarado puede dañar la fuente y el equipo conectado.</w:t>
            </w:r>
          </w:p>
        </w:tc>
      </w:tr>
    </w:tbl>
    <w:p>
      <w:pPr>
        <w:pStyle w:val="Heading1"/>
        <w:rPr/>
      </w:pPr>
      <w:r>
        <w:rPr/>
        <w:t>5. Compatibilidad</w:t>
      </w:r>
    </w:p>
    <w:p>
      <w:pPr>
        <w:pStyle w:val="Heading2"/>
        <w:rPr/>
      </w:pPr>
      <w:r>
        <w:rPr/>
        <w:t>5.1 Raspberry Pi</w:t>
      </w:r>
    </w:p>
    <w:p>
      <w:pPr>
        <w:pStyle w:val="Normal"/>
        <w:rPr/>
      </w:pPr>
      <w:r>
        <w:rPr/>
        <w:t>La placa se ha preparado para montar una Raspberry Pi sobre separadores y alimentar el equipo mediante USB-C. La Raspberry Pi no forma parte del suministro. El usuario debe comprobar que el modelo concreto encaja en los puntos de fijación y que su consumo está dentro de la capacidad validada del módulo.</w:t>
      </w:r>
    </w:p>
    <w:p>
      <w:pPr>
        <w:pStyle w:val="Heading2"/>
        <w:rPr/>
      </w:pPr>
      <w:r>
        <w:rPr/>
        <w:t>5.2 Otros ordenadores monoplaca</w:t>
      </w:r>
    </w:p>
    <w:p>
      <w:pPr>
        <w:pStyle w:val="Normal"/>
        <w:rPr/>
      </w:pPr>
      <w:r>
        <w:rPr/>
        <w:t>Puede usarse con otros SBC o controladores de 5,</w:t>
      </w:r>
      <w:r>
        <w:rPr/>
        <w:t>1</w:t>
      </w:r>
      <w:r>
        <w:rPr/>
        <w:t xml:space="preserve"> V cuando se cumplan todas estas condiciones: entrada real de 5,</w:t>
      </w:r>
      <w:r>
        <w:rPr/>
        <w:t>1</w:t>
      </w:r>
      <w:r>
        <w:rPr/>
        <w:t xml:space="preserve"> V, consumo compatible, conector adecuado, patrón mecánico compatible o adaptado, y ausencia de riesgo de contacto con la placa metálica.</w:t>
      </w:r>
    </w:p>
    <w:p>
      <w:pPr>
        <w:pStyle w:val="Normal"/>
        <w:rPr/>
      </w:pPr>
      <w:r>
        <w:rPr/>
      </w:r>
      <w:r>
        <w:br w:type="page"/>
      </w:r>
    </w:p>
    <w:p>
      <w:pPr>
        <w:pStyle w:val="Heading1"/>
        <w:spacing w:before="0" w:after="80"/>
        <w:rPr/>
      </w:pPr>
      <w:r>
        <w:rPr/>
        <w:t>6. Montaje mecánico</w:t>
      </w:r>
    </w:p>
    <w:p>
      <w:pPr>
        <w:pStyle w:val="Normal"/>
        <w:rPr/>
      </w:pPr>
      <w:r>
        <w:rPr/>
        <w:t xml:space="preserve">El soporte es una placa metálica galvanizada con bordes redondeados, dos ranuras tipo bocallave en la zona superior, un recorte inferior y varios agujeros para separadores y fijación. </w:t>
      </w:r>
    </w:p>
    <w:p>
      <w:pPr>
        <w:pStyle w:val="Normal"/>
        <w:jc w:val="center"/>
        <w:rPr/>
      </w:pPr>
      <w:r>
        <w:rPr/>
        <w:drawing>
          <wp:inline distT="0" distB="0" distL="0" distR="0">
            <wp:extent cx="5219700" cy="7384415"/>
            <wp:effectExtent l="0" t="0" r="0" b="0"/>
            <wp:docPr id="4" name="Picture 4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700" cy="7384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jc w:val="center"/>
        <w:rPr/>
      </w:pPr>
      <w:r>
        <w:rPr>
          <w:i/>
        </w:rPr>
        <w:t>Figura 2. Plano dimensional de la placa de soporte. Cotas en milímetros.</w:t>
      </w:r>
    </w:p>
    <w:p>
      <w:pPr>
        <w:pStyle w:val="Heading2"/>
        <w:rPr/>
      </w:pPr>
      <w:r>
        <w:rPr/>
        <w:t>6.</w:t>
      </w:r>
      <w:r>
        <w:rPr/>
        <w:t>1</w:t>
      </w:r>
      <w:r>
        <w:rPr/>
        <w:t xml:space="preserve"> Recomendaciones de montaje</w:t>
      </w:r>
    </w:p>
    <w:p>
      <w:pPr>
        <w:pStyle w:val="ListBullet"/>
        <w:numPr>
          <w:ilvl w:val="0"/>
          <w:numId w:val="1"/>
        </w:numPr>
        <w:rPr/>
      </w:pPr>
      <w:r>
        <w:rPr/>
        <w:t>Usar todos los separadores previstos para evitar flexión de la PCB.</w:t>
      </w:r>
    </w:p>
    <w:p>
      <w:pPr>
        <w:pStyle w:val="ListBullet"/>
        <w:numPr>
          <w:ilvl w:val="0"/>
          <w:numId w:val="1"/>
        </w:numPr>
        <w:rPr/>
      </w:pPr>
      <w:r>
        <w:rPr/>
        <w:t>Comprobar que ningún terminal o soldadura toque la placa metálica.</w:t>
      </w:r>
    </w:p>
    <w:p>
      <w:pPr>
        <w:pStyle w:val="ListBullet"/>
        <w:numPr>
          <w:ilvl w:val="0"/>
          <w:numId w:val="1"/>
        </w:numPr>
        <w:rPr/>
      </w:pPr>
      <w:r>
        <w:rPr/>
        <w:t>Mantener espacio libre alrededor de la bobina, MOSFETs y controlador.</w:t>
      </w:r>
    </w:p>
    <w:p>
      <w:pPr>
        <w:pStyle w:val="ListBullet"/>
        <w:numPr>
          <w:ilvl w:val="0"/>
          <w:numId w:val="1"/>
        </w:numPr>
        <w:rPr/>
      </w:pPr>
      <w:r>
        <w:rPr/>
        <w:t>No cubrir el módulo con espuma, cinta o materiales que impidan disipar calor.</w:t>
      </w:r>
    </w:p>
    <w:p>
      <w:pPr>
        <w:pStyle w:val="ListBullet"/>
        <w:numPr>
          <w:ilvl w:val="0"/>
          <w:numId w:val="1"/>
        </w:numPr>
        <w:rPr/>
      </w:pPr>
      <w:r>
        <w:rPr/>
        <w:t>Antes de mecanizar una caja, verificar las medidas con una unidad física o con el fichero mecánico de fabricación.</w:t>
      </w:r>
    </w:p>
    <w:p>
      <w:pPr>
        <w:pStyle w:val="Heading1"/>
        <w:spacing w:before="0" w:after="80"/>
        <w:rPr/>
      </w:pPr>
      <w:r>
        <w:rPr/>
        <w:t>7. Instalación y puesta en marcha</w:t>
      </w:r>
    </w:p>
    <w:p>
      <w:pPr>
        <w:pStyle w:val="Normal"/>
        <w:rPr/>
      </w:pPr>
      <w:r>
        <w:rPr>
          <w:b/>
        </w:rPr>
        <w:t xml:space="preserve">1. </w:t>
      </w:r>
      <w:r>
        <w:rPr/>
        <w:t>Desconectar completamente la alimentación.</w:t>
      </w:r>
    </w:p>
    <w:p>
      <w:pPr>
        <w:pStyle w:val="Normal"/>
        <w:rPr/>
      </w:pPr>
      <w:r>
        <w:rPr>
          <w:b/>
        </w:rPr>
        <w:t xml:space="preserve">2. </w:t>
      </w:r>
      <w:r>
        <w:rPr/>
        <w:t>Fijar la placa metálica a la pared, chasis o armario usando las ranuras y agujeros disponibles.</w:t>
      </w:r>
    </w:p>
    <w:p>
      <w:pPr>
        <w:pStyle w:val="Normal"/>
        <w:rPr/>
      </w:pPr>
      <w:r>
        <w:rPr>
          <w:b/>
        </w:rPr>
        <w:t xml:space="preserve">3. </w:t>
      </w:r>
      <w:r>
        <w:rPr/>
        <w:t>Montar el módulo DC-DC sobre sus separadores y comprobar que no existe contacto eléctrico con el soporte.</w:t>
      </w:r>
    </w:p>
    <w:p>
      <w:pPr>
        <w:pStyle w:val="Normal"/>
        <w:rPr/>
      </w:pPr>
      <w:r>
        <w:rPr>
          <w:b/>
        </w:rPr>
        <w:t xml:space="preserve">4. </w:t>
      </w:r>
      <w:r>
        <w:rPr/>
        <w:t>Montar la Raspberry Pi o el equipo compatible usando los separadores correspondientes.</w:t>
      </w:r>
    </w:p>
    <w:p>
      <w:pPr>
        <w:pStyle w:val="Normal"/>
        <w:rPr/>
      </w:pPr>
      <w:r>
        <w:rPr>
          <w:b/>
        </w:rPr>
        <w:t xml:space="preserve">5. </w:t>
      </w:r>
      <w:r>
        <w:rPr/>
        <w:t>Conectar el USB-C de salida al equipo.</w:t>
      </w:r>
    </w:p>
    <w:p>
      <w:pPr>
        <w:pStyle w:val="Normal"/>
        <w:rPr/>
      </w:pPr>
      <w:r>
        <w:rPr>
          <w:b/>
        </w:rPr>
        <w:t xml:space="preserve">6. </w:t>
      </w:r>
      <w:r>
        <w:rPr/>
        <w:t>Conectar la entrada DC respetando positivo y negativo.</w:t>
      </w:r>
    </w:p>
    <w:p>
      <w:pPr>
        <w:pStyle w:val="Normal"/>
        <w:rPr/>
      </w:pPr>
      <w:r>
        <w:rPr>
          <w:b/>
        </w:rPr>
        <w:t xml:space="preserve">7. </w:t>
      </w:r>
      <w:r>
        <w:rPr/>
        <w:t>Aplicar alimentación sin periféricos de gran consumo y comprobar que la salida es aproximadamente 5 V.</w:t>
      </w:r>
    </w:p>
    <w:p>
      <w:pPr>
        <w:pStyle w:val="Normal"/>
        <w:rPr/>
      </w:pPr>
      <w:r>
        <w:rPr>
          <w:b/>
        </w:rPr>
        <w:t xml:space="preserve">8. </w:t>
      </w:r>
      <w:r>
        <w:rPr/>
        <w:t>Arrancar el equipo y vigilar tensión, temperatura y estabilidad.</w:t>
      </w:r>
    </w:p>
    <w:p>
      <w:pPr>
        <w:pStyle w:val="Normal"/>
        <w:rPr/>
      </w:pPr>
      <w:r>
        <w:rPr>
          <w:b/>
        </w:rPr>
        <w:t xml:space="preserve">9. </w:t>
      </w:r>
      <w:r>
        <w:rPr/>
        <w:t>Conectar las cargas adicionales una a una.</w:t>
      </w:r>
    </w:p>
    <w:p>
      <w:pPr>
        <w:pStyle w:val="Normal"/>
        <w:rPr/>
      </w:pPr>
      <w:r>
        <w:rPr>
          <w:b/>
        </w:rPr>
        <w:t xml:space="preserve">10. </w:t>
      </w:r>
      <w:r>
        <w:rPr/>
        <w:t>Realizar una prueba prolongada en las peores condiciones previstas de temperatura y carga.</w:t>
      </w:r>
    </w:p>
    <w:p>
      <w:pPr>
        <w:pStyle w:val="Heading2"/>
        <w:rPr/>
      </w:pPr>
      <w:r>
        <w:rPr/>
        <w:t>7.1 Comprobaciones iniciales</w:t>
      </w:r>
    </w:p>
    <w:p>
      <w:pPr>
        <w:pStyle w:val="ListBullet"/>
        <w:numPr>
          <w:ilvl w:val="0"/>
          <w:numId w:val="1"/>
        </w:numPr>
        <w:rPr/>
      </w:pPr>
      <w:r>
        <w:rPr/>
        <w:t>La tensión de salida permanece estable durante el arranque.</w:t>
      </w:r>
    </w:p>
    <w:p>
      <w:pPr>
        <w:pStyle w:val="ListBullet"/>
        <w:numPr>
          <w:ilvl w:val="0"/>
          <w:numId w:val="1"/>
        </w:numPr>
        <w:rPr/>
      </w:pPr>
      <w:r>
        <w:rPr/>
        <w:t>No aparecen reinicios por baja tensión en la Raspberry Pi.</w:t>
      </w:r>
    </w:p>
    <w:p>
      <w:pPr>
        <w:pStyle w:val="ListBullet"/>
        <w:numPr>
          <w:ilvl w:val="0"/>
          <w:numId w:val="1"/>
        </w:numPr>
        <w:rPr/>
      </w:pPr>
      <w:r>
        <w:rPr/>
        <w:t>La borna, el cableado, el diodo, la bobina y los MOSFETs no alcanzan temperaturas anormales.</w:t>
      </w:r>
    </w:p>
    <w:p>
      <w:pPr>
        <w:pStyle w:val="ListBullet"/>
        <w:numPr>
          <w:ilvl w:val="0"/>
          <w:numId w:val="1"/>
        </w:numPr>
        <w:rPr/>
      </w:pPr>
      <w:r>
        <w:rPr/>
        <w:t>No hay ruidos, olor, decoloración o vibración mecánica.</w:t>
      </w:r>
    </w:p>
    <w:p>
      <w:pPr>
        <w:pStyle w:val="ListBullet"/>
        <w:numPr>
          <w:ilvl w:val="0"/>
          <w:numId w:val="1"/>
        </w:numPr>
        <w:rPr/>
      </w:pPr>
      <w:r>
        <w:rPr/>
        <w:t>La tensión de entrada no cae por debajo del mínimo durante los picos de carga.</w:t>
      </w:r>
    </w:p>
    <w:p>
      <w:pPr>
        <w:pStyle w:val="Heading1"/>
        <w:rPr/>
      </w:pPr>
      <w:r>
        <w:rPr/>
        <w:t>8. Seguridad y uso correcto</w:t>
      </w:r>
    </w:p>
    <w:p>
      <w:pPr>
        <w:pStyle w:val="ListBullet"/>
        <w:numPr>
          <w:ilvl w:val="0"/>
          <w:numId w:val="1"/>
        </w:numPr>
        <w:rPr/>
      </w:pPr>
      <w:r>
        <w:rPr/>
        <w:t>Producto para integración por personal con conocimientos eléctricos.</w:t>
      </w:r>
    </w:p>
    <w:p>
      <w:pPr>
        <w:pStyle w:val="ListBullet"/>
        <w:numPr>
          <w:ilvl w:val="0"/>
          <w:numId w:val="1"/>
        </w:numPr>
        <w:rPr/>
      </w:pPr>
      <w:r>
        <w:rPr/>
        <w:t>No manipular con tensión aplicada.</w:t>
      </w:r>
    </w:p>
    <w:p>
      <w:pPr>
        <w:pStyle w:val="ListBullet"/>
        <w:numPr>
          <w:ilvl w:val="0"/>
          <w:numId w:val="1"/>
        </w:numPr>
        <w:rPr/>
      </w:pPr>
      <w:r>
        <w:rPr/>
        <w:t>No usar en ambientes mojados, con condensación o polvo conductor sin una caja adecuada.</w:t>
      </w:r>
    </w:p>
    <w:p>
      <w:pPr>
        <w:pStyle w:val="ListBullet"/>
        <w:numPr>
          <w:ilvl w:val="0"/>
          <w:numId w:val="1"/>
        </w:numPr>
        <w:rPr/>
      </w:pPr>
      <w:r>
        <w:rPr/>
        <w:t>No usar cerca de materiales inflamables.</w:t>
      </w:r>
    </w:p>
    <w:p>
      <w:pPr>
        <w:pStyle w:val="ListBullet"/>
        <w:numPr>
          <w:ilvl w:val="0"/>
          <w:numId w:val="1"/>
        </w:numPr>
        <w:rPr/>
      </w:pPr>
      <w:r>
        <w:rPr/>
        <w:t>La placa metálica debe quedar fijada y sin bordes accesibles peligrosos.</w:t>
      </w:r>
    </w:p>
    <w:p>
      <w:pPr>
        <w:pStyle w:val="ListBullet"/>
        <w:numPr>
          <w:ilvl w:val="0"/>
          <w:numId w:val="1"/>
        </w:numPr>
        <w:rPr/>
      </w:pPr>
      <w:r>
        <w:rPr/>
        <w:t>La protección interna no sustituye fusibles, seccionamiento, puesta a tierra ni otras medidas de la instalación.</w:t>
      </w:r>
    </w:p>
    <w:p>
      <w:pPr>
        <w:pStyle w:val="ListBullet"/>
        <w:numPr>
          <w:ilvl w:val="0"/>
          <w:numId w:val="1"/>
        </w:numPr>
        <w:rPr/>
      </w:pPr>
      <w:r>
        <w:rPr/>
        <w:t>No superar 60 V CC en la entrada.</w:t>
      </w:r>
    </w:p>
    <w:p>
      <w:pPr>
        <w:pStyle w:val="ListBullet"/>
        <w:numPr>
          <w:ilvl w:val="0"/>
          <w:numId w:val="1"/>
        </w:numPr>
        <w:rPr/>
      </w:pPr>
      <w:r>
        <w:rPr/>
        <w:t>No conectar la salida a una fuente externa de 5 V sin estudiar el posible retorno de corriente.</w:t>
      </w:r>
    </w:p>
    <w:p>
      <w:pPr>
        <w:pStyle w:val="ListBullet"/>
        <w:numPr>
          <w:ilvl w:val="0"/>
          <w:numId w:val="1"/>
        </w:numPr>
        <w:rPr>
          <w:color w:val="C9211E"/>
        </w:rPr>
      </w:pPr>
      <w:r>
        <w:rPr>
          <w:color w:val="C9211E"/>
        </w:rPr>
        <w:t xml:space="preserve">Se ha dispuesto que fuente pueda soportar 60V para asegurar su durabilidad en un entorno industrial y resistencia ante picos , </w:t>
      </w:r>
      <w:r>
        <w:rPr>
          <w:b/>
          <w:bCs/>
          <w:color w:val="C9211E"/>
        </w:rPr>
        <w:t>DESACONSEJAMOS TOTALMENTE SUPERAR LOS 24VDC POR EL RIESGO DE ELECTROCUCION QUE CONLLEVA. Queda bajo la responsabilidad del usuario final la protección de las personas frente a tensiones DC elevadas.</w:t>
      </w:r>
    </w:p>
    <w:p>
      <w:pPr>
        <w:pStyle w:val="Normal"/>
        <w:rPr/>
      </w:pPr>
      <w:r>
        <w:rPr/>
      </w:r>
      <w:r>
        <w:br w:type="page"/>
      </w:r>
    </w:p>
    <w:p>
      <w:pPr>
        <w:pStyle w:val="Heading1"/>
        <w:spacing w:before="0" w:after="80"/>
        <w:rPr/>
      </w:pPr>
      <w:r>
        <w:rPr/>
      </w:r>
    </w:p>
    <w:p>
      <w:pPr>
        <w:pStyle w:val="Normal"/>
        <w:rPr/>
      </w:pPr>
      <w:r>
        <w:rPr/>
      </w:r>
      <w:r>
        <w:br w:type="page"/>
      </w:r>
    </w:p>
    <w:p>
      <w:pPr>
        <w:pStyle w:val="Heading1"/>
        <w:spacing w:before="0" w:after="80"/>
        <w:rPr/>
      </w:pPr>
      <w:r>
        <w:rPr/>
        <w:t>11. Contenido del suministro</w:t>
      </w:r>
    </w:p>
    <w:tbl>
      <w:tblPr>
        <w:tblStyle w:val="TableGrid"/>
        <w:tblW w:w="10200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5100"/>
        <w:gridCol w:w="5099"/>
      </w:tblGrid>
      <w:tr>
        <w:trPr/>
        <w:tc>
          <w:tcPr>
            <w:tcW w:w="5100" w:type="dxa"/>
            <w:tcBorders/>
            <w:shd w:fill="000000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cs=""/>
                <w:b/>
                <w:color w:val="FFFFFF"/>
                <w:kern w:val="0"/>
                <w:sz w:val="18"/>
                <w:szCs w:val="22"/>
                <w:lang w:val="en-US" w:eastAsia="en-US" w:bidi="ar-SA"/>
              </w:rPr>
              <w:t>Elemento</w:t>
            </w:r>
          </w:p>
        </w:tc>
        <w:tc>
          <w:tcPr>
            <w:tcW w:w="5099" w:type="dxa"/>
            <w:tcBorders/>
            <w:shd w:fill="000000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cs=""/>
                <w:b/>
                <w:color w:val="FFFFFF"/>
                <w:kern w:val="0"/>
                <w:sz w:val="18"/>
                <w:szCs w:val="22"/>
                <w:lang w:val="en-US" w:eastAsia="en-US" w:bidi="ar-SA"/>
              </w:rPr>
              <w:t>Incluido</w:t>
            </w:r>
          </w:p>
        </w:tc>
      </w:tr>
      <w:tr>
        <w:trPr/>
        <w:tc>
          <w:tcPr>
            <w:tcW w:w="5100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cs=""/>
                <w:b w:val="false"/>
                <w:kern w:val="0"/>
                <w:sz w:val="18"/>
                <w:szCs w:val="22"/>
                <w:lang w:val="en-US" w:eastAsia="en-US" w:bidi="ar-SA"/>
              </w:rPr>
              <w:t>Placa metálica de soporte</w:t>
            </w:r>
          </w:p>
        </w:tc>
        <w:tc>
          <w:tcPr>
            <w:tcW w:w="5099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cs=""/>
                <w:b w:val="false"/>
                <w:kern w:val="0"/>
                <w:sz w:val="18"/>
                <w:szCs w:val="22"/>
                <w:lang w:val="en-US" w:eastAsia="en-US" w:bidi="ar-SA"/>
              </w:rPr>
              <w:t>Sí</w:t>
            </w:r>
          </w:p>
        </w:tc>
      </w:tr>
      <w:tr>
        <w:trPr/>
        <w:tc>
          <w:tcPr>
            <w:tcW w:w="5100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cs=""/>
                <w:b w:val="false"/>
                <w:kern w:val="0"/>
                <w:sz w:val="18"/>
                <w:szCs w:val="22"/>
                <w:lang w:val="en-US" w:eastAsia="en-US" w:bidi="ar-SA"/>
              </w:rPr>
              <w:t>Módulo fuente DC-DC</w:t>
            </w:r>
          </w:p>
        </w:tc>
        <w:tc>
          <w:tcPr>
            <w:tcW w:w="5099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cs=""/>
                <w:b w:val="false"/>
                <w:kern w:val="0"/>
                <w:sz w:val="18"/>
                <w:szCs w:val="22"/>
                <w:lang w:val="en-US" w:eastAsia="en-US" w:bidi="ar-SA"/>
              </w:rPr>
              <w:t>Sí</w:t>
            </w:r>
          </w:p>
        </w:tc>
      </w:tr>
      <w:tr>
        <w:trPr/>
        <w:tc>
          <w:tcPr>
            <w:tcW w:w="5100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cs=""/>
                <w:b w:val="false"/>
                <w:kern w:val="0"/>
                <w:sz w:val="18"/>
                <w:szCs w:val="22"/>
                <w:lang w:val="en-US" w:eastAsia="en-US" w:bidi="ar-SA"/>
              </w:rPr>
              <w:t>Borna enchufable de entrada</w:t>
            </w:r>
          </w:p>
        </w:tc>
        <w:tc>
          <w:tcPr>
            <w:tcW w:w="5099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cs=""/>
                <w:b w:val="false"/>
                <w:kern w:val="0"/>
                <w:sz w:val="18"/>
                <w:szCs w:val="22"/>
                <w:lang w:val="en-US" w:eastAsia="en-US" w:bidi="ar-SA"/>
              </w:rPr>
              <w:t>Según configuración comercial; confirmar</w:t>
            </w:r>
          </w:p>
        </w:tc>
      </w:tr>
      <w:tr>
        <w:trPr/>
        <w:tc>
          <w:tcPr>
            <w:tcW w:w="5100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cs=""/>
                <w:b w:val="false"/>
                <w:kern w:val="0"/>
                <w:sz w:val="18"/>
                <w:szCs w:val="22"/>
                <w:lang w:val="en-US" w:eastAsia="en-US" w:bidi="ar-SA"/>
              </w:rPr>
              <w:t>Separadores y tornillería</w:t>
            </w:r>
          </w:p>
        </w:tc>
        <w:tc>
          <w:tcPr>
            <w:tcW w:w="5099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cs=""/>
                <w:b w:val="false"/>
                <w:kern w:val="0"/>
                <w:sz w:val="18"/>
                <w:szCs w:val="22"/>
                <w:lang w:val="en-US" w:eastAsia="en-US" w:bidi="ar-SA"/>
              </w:rPr>
              <w:t>Confirmar en la referencia de venta</w:t>
            </w:r>
          </w:p>
        </w:tc>
      </w:tr>
      <w:tr>
        <w:trPr/>
        <w:tc>
          <w:tcPr>
            <w:tcW w:w="5100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cs=""/>
                <w:b w:val="false"/>
                <w:kern w:val="0"/>
                <w:sz w:val="18"/>
                <w:szCs w:val="22"/>
                <w:lang w:val="en-US" w:eastAsia="en-US" w:bidi="ar-SA"/>
              </w:rPr>
              <w:t>Raspberry Pi</w:t>
            </w:r>
          </w:p>
        </w:tc>
        <w:tc>
          <w:tcPr>
            <w:tcW w:w="5099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cs=""/>
                <w:b w:val="false"/>
                <w:kern w:val="0"/>
                <w:sz w:val="18"/>
                <w:szCs w:val="22"/>
                <w:lang w:val="en-US" w:eastAsia="en-US" w:bidi="ar-SA"/>
              </w:rPr>
              <w:t>No</w:t>
            </w:r>
          </w:p>
        </w:tc>
      </w:tr>
      <w:tr>
        <w:trPr/>
        <w:tc>
          <w:tcPr>
            <w:tcW w:w="5100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cs=""/>
                <w:b w:val="false"/>
                <w:kern w:val="0"/>
                <w:sz w:val="18"/>
                <w:szCs w:val="22"/>
                <w:lang w:val="en-US" w:eastAsia="en-US" w:bidi="ar-SA"/>
              </w:rPr>
              <w:t>Disipador y ventilador de Raspberry Pi</w:t>
            </w:r>
          </w:p>
        </w:tc>
        <w:tc>
          <w:tcPr>
            <w:tcW w:w="5099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cs=""/>
                <w:b w:val="false"/>
                <w:kern w:val="0"/>
                <w:sz w:val="18"/>
                <w:szCs w:val="22"/>
                <w:lang w:val="en-US" w:eastAsia="en-US" w:bidi="ar-SA"/>
              </w:rPr>
              <w:t>No</w:t>
            </w:r>
          </w:p>
        </w:tc>
      </w:tr>
      <w:tr>
        <w:trPr/>
        <w:tc>
          <w:tcPr>
            <w:tcW w:w="5100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cs=""/>
                <w:b w:val="false"/>
                <w:kern w:val="0"/>
                <w:sz w:val="18"/>
                <w:szCs w:val="22"/>
                <w:lang w:val="en-US" w:eastAsia="en-US" w:bidi="ar-SA"/>
              </w:rPr>
              <w:t>Tarjeta microSD y periféricos</w:t>
            </w:r>
          </w:p>
        </w:tc>
        <w:tc>
          <w:tcPr>
            <w:tcW w:w="5099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cs=""/>
                <w:b w:val="false"/>
                <w:kern w:val="0"/>
                <w:sz w:val="18"/>
                <w:szCs w:val="22"/>
                <w:lang w:val="en-US" w:eastAsia="en-US" w:bidi="ar-SA"/>
              </w:rPr>
              <w:t>No</w:t>
            </w:r>
          </w:p>
        </w:tc>
      </w:tr>
    </w:tbl>
    <w:p>
      <w:pPr>
        <w:pStyle w:val="Normal"/>
        <w:jc w:val="center"/>
        <w:rPr/>
      </w:pPr>
      <w:r>
        <w:rPr/>
        <w:drawing>
          <wp:inline distT="0" distB="0" distL="0" distR="0">
            <wp:extent cx="5939790" cy="4455160"/>
            <wp:effectExtent l="0" t="0" r="0" b="0"/>
            <wp:docPr id="5" name="Picture 5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jc w:val="center"/>
        <w:rPr/>
      </w:pPr>
      <w:r>
        <w:rPr>
          <w:i/>
        </w:rPr>
        <w:t>Figura 3. Soporte y módulo de alimentación sin Raspberry Pi.</w:t>
      </w:r>
    </w:p>
    <w:p>
      <w:pPr>
        <w:pStyle w:val="Heading1"/>
        <w:rPr/>
      </w:pPr>
      <w:r>
        <w:rPr/>
        <w:t>12. Identificación de revisión y referencias</w:t>
      </w:r>
    </w:p>
    <w:p>
      <w:pPr>
        <w:pStyle w:val="Normal"/>
        <w:rPr/>
      </w:pPr>
      <w:r>
        <w:rPr/>
        <w:t>Este documento describe el conjunto mostrado en los archivos suministrados. Los componentes, conectores, cotas o prestaciones pueden cambiar en revisiones posteriores. Antes de integrar el producto en una máquina o publicarlo en un catálogo, confirme la revisión del esquema, el PCB, la placa metálica y las pruebas de validación.</w:t>
      </w:r>
    </w:p>
    <w:p>
      <w:pPr>
        <w:pStyle w:val="ListBullet"/>
        <w:numPr>
          <w:ilvl w:val="0"/>
          <w:numId w:val="1"/>
        </w:numPr>
        <w:rPr/>
      </w:pPr>
      <w:r>
        <w:rPr/>
        <w:t>Esquema eléctrico “dc-dc rpi”, revisión 1.0, fecha 25/05/2026.</w:t>
      </w:r>
    </w:p>
    <w:p>
      <w:pPr>
        <w:pStyle w:val="ListBullet"/>
        <w:numPr>
          <w:ilvl w:val="0"/>
          <w:numId w:val="1"/>
        </w:numPr>
        <w:rPr/>
      </w:pPr>
      <w:r>
        <w:rPr/>
        <w:t>Plano dimensional “dimensions.pdf”.</w:t>
      </w:r>
    </w:p>
    <w:p>
      <w:pPr>
        <w:pStyle w:val="ListBullet"/>
        <w:numPr>
          <w:ilvl w:val="0"/>
          <w:numId w:val="1"/>
        </w:numPr>
        <w:rPr/>
      </w:pPr>
      <w:r>
        <w:rPr/>
        <w:t>Fotografías de catálogo suministradas por el usuario.</w:t>
      </w:r>
    </w:p>
    <w:p>
      <w:pPr>
        <w:pStyle w:val="ListBullet"/>
        <w:numPr>
          <w:ilvl w:val="0"/>
          <w:numId w:val="1"/>
        </w:numPr>
        <w:rPr/>
      </w:pPr>
      <w:r>
        <w:rPr/>
        <w:t>Documento de estilo “Datasheet Interface I2C Industrial Subitronics Rev. 1.0”.</w:t>
      </w:r>
    </w:p>
    <w:tbl>
      <w:tblPr>
        <w:tblW w:w="9354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9354"/>
      </w:tblGrid>
      <w:tr>
        <w:trPr/>
        <w:tc>
          <w:tcPr>
            <w:tcW w:w="9354" w:type="dxa"/>
            <w:tcBorders/>
            <w:shd w:fill="F2F2F2"/>
          </w:tcPr>
          <w:p>
            <w:pPr>
              <w:pStyle w:val="Normal"/>
              <w:spacing w:before="0" w:after="200"/>
              <w:jc w:val="center"/>
              <w:rPr/>
            </w:pPr>
            <w:r>
              <w:rPr>
                <w:b/>
                <w:sz w:val="20"/>
              </w:rPr>
              <w:t>NOTA TÉCNICA: Datos pendientes de validación para una ficha comercial definitiva: corriente máxima continua, corriente de pico, eficiencia, rizado, temperatura de funcionamiento, reducción térmica, protección ante cortocircuito, EMC y certificaciones.</w:t>
            </w:r>
          </w:p>
        </w:tc>
      </w:tr>
    </w:tbl>
    <w:sectPr>
      <w:headerReference w:type="even" r:id="rId7"/>
      <w:headerReference w:type="default" r:id="rId8"/>
      <w:headerReference w:type="first" r:id="rId9"/>
      <w:footerReference w:type="even" r:id="rId10"/>
      <w:footerReference w:type="default" r:id="rId11"/>
      <w:footerReference w:type="first" r:id="rId12"/>
      <w:type w:val="nextPage"/>
      <w:pgSz w:w="12240" w:h="15840"/>
      <w:pgMar w:left="1020" w:right="1020" w:gutter="0" w:header="340" w:top="737" w:footer="340" w:bottom="85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mbria">
    <w:charset w:val="01"/>
    <w:family w:val="roman"/>
    <w:pitch w:val="variable"/>
  </w:font>
  <w:font w:name="Arial">
    <w:charset w:val="01"/>
    <w:family w:val="roman"/>
    <w:pitch w:val="variable"/>
  </w:font>
  <w:font w:name="Calibri">
    <w:charset w:val="01"/>
    <w:family w:val="roman"/>
    <w:pitch w:val="variable"/>
  </w:font>
  <w:font w:name="Courier">
    <w:altName w:val="Courier New"/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Symbol">
    <w:charset w:val="02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right"/>
      <w:rPr/>
    </w:pPr>
    <w:r>
      <w:rPr>
        <w:sz w:val="18"/>
      </w:rPr>
      <w:t xml:space="preserve">Página </w:t>
    </w: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8</w:t>
    </w:r>
    <w:r>
      <w:rPr/>
      <w:fldChar w:fldCharType="end"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right"/>
      <w:rPr/>
    </w:pPr>
    <w:r>
      <w:rPr>
        <w:sz w:val="18"/>
      </w:rPr>
      <w:t xml:space="preserve">Página </w:t>
    </w: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8</w:t>
    </w:r>
    <w:r>
      <w:rPr/>
      <w:fldChar w:fldCharType="end"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right"/>
      <w:rPr/>
    </w:pPr>
    <w:r>
      <w:rPr>
        <w:b/>
        <w:sz w:val="18"/>
      </w:rPr>
      <w:t>SUBITRONICS  |  Documento técnico  |  Rev. 1.0</w: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right"/>
      <w:rPr/>
    </w:pPr>
    <w:r>
      <w:rPr>
        <w:b/>
        <w:sz w:val="18"/>
      </w:rPr>
      <w:t>SUBITRONICS  |  Documento técnico  |  Rev. 1.0</w: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w="http://schemas.openxmlformats.org/wordprocessingml/2006/main">
  <w:zoom w:percent="95"/>
  <w:defaultTabStop w:val="720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ja-JP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mbria" w:hAnsi="Cambria" w:eastAsia="ＭＳ 明朝" w:cs="" w:asciiTheme="minorHAnsi" w:cstheme="minorBidi" w:eastAsiaTheme="minorEastAsia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76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fc693f"/>
    <w:pPr>
      <w:widowControl/>
      <w:bidi w:val="0"/>
      <w:spacing w:lineRule="auto" w:line="276" w:before="0" w:after="200"/>
      <w:jc w:val="left"/>
    </w:pPr>
    <w:rPr>
      <w:rFonts w:ascii="Arial" w:hAnsi="Arial" w:eastAsia="Arial" w:cs="" w:cstheme="minorBidi"/>
      <w:color w:val="auto"/>
      <w:kern w:val="0"/>
      <w:sz w:val="20"/>
      <w:szCs w:val="22"/>
      <w:lang w:val="en-US" w:eastAsia="en-US"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 w:val="true"/>
      <w:keepLines/>
      <w:spacing w:before="160" w:after="80"/>
      <w:outlineLvl w:val="0"/>
    </w:pPr>
    <w:rPr>
      <w:rFonts w:ascii="Calibri" w:hAnsi="Calibri" w:eastAsia="ＭＳ ゴシック" w:cs="" w:asciiTheme="majorHAnsi" w:cstheme="majorBidi" w:eastAsiaTheme="majorEastAsia" w:hAnsiTheme="majorHAnsi"/>
      <w:b/>
      <w:bCs/>
      <w:color w:val="2F5A82"/>
      <w:sz w:val="3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 w:val="true"/>
      <w:keepLines/>
      <w:spacing w:before="160" w:after="80"/>
      <w:outlineLvl w:val="1"/>
    </w:pPr>
    <w:rPr>
      <w:rFonts w:ascii="Calibri" w:hAnsi="Calibri" w:eastAsia="ＭＳ ゴシック" w:cs="" w:asciiTheme="majorHAnsi" w:cstheme="majorBidi" w:eastAsiaTheme="majorEastAsia" w:hAnsiTheme="majorHAnsi"/>
      <w:b/>
      <w:bCs/>
      <w:color w:val="2F5A82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 w:val="true"/>
      <w:keepLines/>
      <w:spacing w:before="160" w:after="80"/>
      <w:outlineLvl w:val="2"/>
    </w:pPr>
    <w:rPr>
      <w:rFonts w:ascii="Calibri" w:hAnsi="Calibri" w:eastAsia="ＭＳ ゴシック" w:cs="" w:asciiTheme="majorHAnsi" w:cstheme="majorBidi" w:eastAsiaTheme="majorEastAsia" w:hAnsiTheme="majorHAnsi"/>
      <w:b/>
      <w:bCs/>
      <w:color w:val="2F5A82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 w:val="true"/>
      <w:keepLines/>
      <w:spacing w:before="200" w:after="0"/>
      <w:outlineLvl w:val="3"/>
    </w:pPr>
    <w:rPr>
      <w:rFonts w:ascii="Calibri" w:hAnsi="Calibri" w:eastAsia="ＭＳ ゴシック" w:cs="" w:asciiTheme="majorHAnsi" w:cstheme="majorBidi" w:eastAsiaTheme="majorEastAsia" w:hAnsiTheme="majorHAnsi"/>
      <w:b/>
      <w:bCs/>
      <w:i/>
      <w:iCs/>
      <w:color w:themeColor="accent1" w:val="4F81BD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 w:val="true"/>
      <w:keepLines/>
      <w:spacing w:before="200" w:after="0"/>
      <w:outlineLvl w:val="4"/>
    </w:pPr>
    <w:rPr>
      <w:rFonts w:ascii="Calibri" w:hAnsi="Calibri" w:eastAsia="ＭＳ ゴシック" w:cs="" w:asciiTheme="majorHAnsi" w:cstheme="majorBidi" w:eastAsiaTheme="majorEastAsia" w:hAnsiTheme="majorHAnsi"/>
      <w:color w:themeColor="accent1" w:themeShade="7f" w:val="243F6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 w:val="true"/>
      <w:keepLines/>
      <w:spacing w:before="200" w:after="0"/>
      <w:outlineLvl w:val="5"/>
    </w:pPr>
    <w:rPr>
      <w:rFonts w:ascii="Calibri" w:hAnsi="Calibri" w:eastAsia="ＭＳ ゴシック" w:cs="" w:asciiTheme="majorHAnsi" w:cstheme="majorBidi" w:eastAsiaTheme="majorEastAsia" w:hAnsiTheme="majorHAnsi"/>
      <w:i/>
      <w:iCs/>
      <w:color w:themeColor="accent1" w:themeShade="7f" w:val="243F6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 w:val="true"/>
      <w:keepLines/>
      <w:spacing w:before="200" w:after="0"/>
      <w:outlineLvl w:val="6"/>
    </w:pPr>
    <w:rPr>
      <w:rFonts w:ascii="Calibri" w:hAnsi="Calibri" w:eastAsia="ＭＳ ゴシック" w:cs="" w:asciiTheme="majorHAnsi" w:cstheme="majorBidi" w:eastAsiaTheme="majorEastAsia" w:hAnsiTheme="majorHAnsi"/>
      <w:i/>
      <w:iCs/>
      <w:color w:themeColor="text1" w:themeTint="bf" w:val="40404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 w:val="true"/>
      <w:keepLines/>
      <w:spacing w:before="200" w:after="0"/>
      <w:outlineLvl w:val="7"/>
    </w:pPr>
    <w:rPr>
      <w:rFonts w:ascii="Calibri" w:hAnsi="Calibri" w:eastAsia="ＭＳ ゴシック" w:cs="" w:asciiTheme="majorHAnsi" w:cstheme="majorBidi" w:eastAsiaTheme="majorEastAsia" w:hAnsiTheme="majorHAnsi"/>
      <w:color w:themeColor="accent1" w:val="4F81BD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 w:val="true"/>
      <w:keepLines/>
      <w:spacing w:before="200" w:after="0"/>
      <w:outlineLvl w:val="8"/>
    </w:pPr>
    <w:rPr>
      <w:rFonts w:ascii="Calibri" w:hAnsi="Calibri" w:eastAsia="ＭＳ ゴシック" w:cs=""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type="character" w:styleId="HeaderChar" w:customStyle="1">
    <w:name w:val="Header Char"/>
    <w:basedOn w:val="DefaultParagraphFont"/>
    <w:uiPriority w:val="99"/>
    <w:qFormat/>
    <w:rsid w:val="00e618bf"/>
    <w:rPr/>
  </w:style>
  <w:style w:type="character" w:styleId="FooterChar" w:customStyle="1">
    <w:name w:val="Footer Char"/>
    <w:basedOn w:val="DefaultParagraphFont"/>
    <w:uiPriority w:val="99"/>
    <w:qFormat/>
    <w:rsid w:val="00e618bf"/>
    <w:rPr/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ing1Char" w:customStyle="1">
    <w:name w:val="Heading 1 Char"/>
    <w:basedOn w:val="DefaultParagraphFont"/>
    <w:uiPriority w:val="9"/>
    <w:qFormat/>
    <w:rsid w:val="00fc693f"/>
    <w:rPr>
      <w:rFonts w:ascii="Calibri" w:hAnsi="Calibri" w:eastAsia="ＭＳ ゴシック" w:cs=""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type="character" w:styleId="Heading2Char" w:customStyle="1">
    <w:name w:val="Heading 2 Char"/>
    <w:basedOn w:val="DefaultParagraphFont"/>
    <w:uiPriority w:val="9"/>
    <w:qFormat/>
    <w:rsid w:val="00fc693f"/>
    <w:rPr>
      <w:rFonts w:ascii="Calibri" w:hAnsi="Calibri" w:eastAsia="ＭＳ ゴシック" w:cs=""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type="character" w:styleId="Heading3Char" w:customStyle="1">
    <w:name w:val="Heading 3 Char"/>
    <w:basedOn w:val="DefaultParagraphFont"/>
    <w:uiPriority w:val="9"/>
    <w:qFormat/>
    <w:rsid w:val="00fc693f"/>
    <w:rPr>
      <w:rFonts w:ascii="Calibri" w:hAnsi="Calibri" w:eastAsia="ＭＳ ゴシック" w:cs="" w:asciiTheme="majorHAnsi" w:cstheme="majorBidi" w:eastAsiaTheme="majorEastAsia" w:hAnsiTheme="majorHAnsi"/>
      <w:b/>
      <w:bCs/>
      <w:color w:themeColor="accent1" w:val="4F81BD"/>
    </w:rPr>
  </w:style>
  <w:style w:type="character" w:styleId="TitleChar" w:customStyle="1">
    <w:name w:val="Title Char"/>
    <w:basedOn w:val="DefaultParagraphFont"/>
    <w:uiPriority w:val="10"/>
    <w:qFormat/>
    <w:rsid w:val="00fc693f"/>
    <w:rPr>
      <w:rFonts w:ascii="Calibri" w:hAnsi="Calibri" w:eastAsia="ＭＳ ゴシック" w:cs="" w:asciiTheme="majorHAnsi" w:cstheme="majorBidi" w:eastAsiaTheme="majorEastAsia" w:hAnsiTheme="majorHAnsi"/>
      <w:color w:themeColor="text2" w:themeShade="bf" w:val="17365D"/>
      <w:spacing w:val="5"/>
      <w:kern w:val="2"/>
      <w:sz w:val="52"/>
      <w:szCs w:val="52"/>
    </w:rPr>
  </w:style>
  <w:style w:type="character" w:styleId="SubtitleChar" w:customStyle="1">
    <w:name w:val="Subtitle Char"/>
    <w:basedOn w:val="DefaultParagraphFont"/>
    <w:uiPriority w:val="11"/>
    <w:qFormat/>
    <w:rsid w:val="00fc693f"/>
    <w:rPr>
      <w:rFonts w:ascii="Calibri" w:hAnsi="Calibri" w:eastAsia="ＭＳ ゴシック" w:cs=""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type="character" w:styleId="BodyTextChar" w:customStyle="1">
    <w:name w:val="Body Text Char"/>
    <w:basedOn w:val="DefaultParagraphFont"/>
    <w:uiPriority w:val="99"/>
    <w:qFormat/>
    <w:rsid w:val="00aa1d8d"/>
    <w:rPr/>
  </w:style>
  <w:style w:type="character" w:styleId="BodyText2Char" w:customStyle="1">
    <w:name w:val="Body Text 2 Char"/>
    <w:basedOn w:val="DefaultParagraphFont"/>
    <w:link w:val="BodyText2"/>
    <w:uiPriority w:val="99"/>
    <w:qFormat/>
    <w:rsid w:val="00aa1d8d"/>
    <w:rPr/>
  </w:style>
  <w:style w:type="character" w:styleId="BodyText3Char" w:customStyle="1">
    <w:name w:val="Body Text 3 Char"/>
    <w:basedOn w:val="DefaultParagraphFont"/>
    <w:link w:val="BodyText3"/>
    <w:uiPriority w:val="99"/>
    <w:qFormat/>
    <w:rsid w:val="00aa1d8d"/>
    <w:rPr>
      <w:sz w:val="16"/>
      <w:szCs w:val="16"/>
    </w:rPr>
  </w:style>
  <w:style w:type="character" w:styleId="MacroTextChar" w:customStyle="1">
    <w:name w:val="Macro Text Char"/>
    <w:basedOn w:val="DefaultParagraphFont"/>
    <w:link w:val="macro"/>
    <w:uiPriority w:val="99"/>
    <w:qFormat/>
    <w:rsid w:val="0029639d"/>
    <w:rPr>
      <w:rFonts w:ascii="Courier" w:hAnsi="Courier"/>
      <w:sz w:val="20"/>
      <w:szCs w:val="20"/>
    </w:rPr>
  </w:style>
  <w:style w:type="character" w:styleId="QuoteChar" w:customStyle="1">
    <w:name w:val="Quote Char"/>
    <w:basedOn w:val="DefaultParagraphFont"/>
    <w:link w:val="Quote"/>
    <w:uiPriority w:val="29"/>
    <w:qFormat/>
    <w:rsid w:val="00fc693f"/>
    <w:rPr>
      <w:i/>
      <w:iCs/>
      <w:color w:themeColor="text1" w:val="000000"/>
    </w:rPr>
  </w:style>
  <w:style w:type="character" w:styleId="Heading4Char" w:customStyle="1">
    <w:name w:val="Heading 4 Char"/>
    <w:basedOn w:val="DefaultParagraphFont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b/>
      <w:bCs/>
      <w:i/>
      <w:iCs/>
      <w:color w:themeColor="accent1" w:val="4F81BD"/>
    </w:rPr>
  </w:style>
  <w:style w:type="character" w:styleId="Heading5Char" w:customStyle="1">
    <w:name w:val="Heading 5 Char"/>
    <w:basedOn w:val="DefaultParagraphFont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color w:themeColor="accent1" w:themeShade="7f" w:val="243F60"/>
    </w:rPr>
  </w:style>
  <w:style w:type="character" w:styleId="Heading6Char" w:customStyle="1">
    <w:name w:val="Heading 6 Char"/>
    <w:basedOn w:val="DefaultParagraphFont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i/>
      <w:iCs/>
      <w:color w:themeColor="accent1" w:themeShade="7f" w:val="243F60"/>
    </w:rPr>
  </w:style>
  <w:style w:type="character" w:styleId="Heading7Char" w:customStyle="1">
    <w:name w:val="Heading 7 Char"/>
    <w:basedOn w:val="DefaultParagraphFont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i/>
      <w:iCs/>
      <w:color w:themeColor="text1" w:themeTint="bf" w:val="404040"/>
    </w:rPr>
  </w:style>
  <w:style w:type="character" w:styleId="Heading8Char" w:customStyle="1">
    <w:name w:val="Heading 8 Char"/>
    <w:basedOn w:val="DefaultParagraphFont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color w:themeColor="accent1" w:val="4F81BD"/>
      <w:sz w:val="20"/>
      <w:szCs w:val="20"/>
    </w:rPr>
  </w:style>
  <w:style w:type="character" w:styleId="Heading9Char" w:customStyle="1">
    <w:name w:val="Heading 9 Char"/>
    <w:basedOn w:val="DefaultParagraphFont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character" w:styleId="IntenseQuoteChar" w:customStyle="1">
    <w:name w:val="Intense Quote Char"/>
    <w:basedOn w:val="DefaultParagraphFont"/>
    <w:link w:val="IntenseQuote"/>
    <w:uiPriority w:val="30"/>
    <w:qFormat/>
    <w:rsid w:val="00fc693f"/>
    <w:rPr>
      <w:b/>
      <w:bCs/>
      <w:i/>
      <w:iCs/>
      <w:color w:themeColor="accent1" w:val="4F81BD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themeColor="text1" w:themeTint="7f" w:val="808080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themeColor="accent1" w:val="4F81BD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themeColor="accent2" w:val="C0504D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themeColor="accent2" w:val="C0504D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Noto Sans Devanagari"/>
      <w:sz w:val="28"/>
      <w:szCs w:val="28"/>
    </w:r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before="0" w:after="120"/>
    </w:pPr>
    <w:rPr/>
  </w:style>
  <w:style w:type="paragraph" w:styleId="List">
    <w:name w:val="List"/>
    <w:basedOn w:val="Normal"/>
    <w:uiPriority w:val="99"/>
    <w:unhideWhenUsed/>
    <w:rsid w:val="00aa1d8d"/>
    <w:pPr>
      <w:spacing w:before="0" w:after="200"/>
      <w:ind w:hanging="360" w:left="360"/>
      <w:contextualSpacing/>
    </w:pPr>
    <w:rPr/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Rule="auto" w:line="240"/>
    </w:pPr>
    <w:rPr>
      <w:b/>
      <w:bCs/>
      <w:color w:themeColor="accent1" w:val="4F81BD"/>
      <w:sz w:val="18"/>
      <w:szCs w:val="18"/>
    </w:rPr>
  </w:style>
  <w:style w:type="paragraph" w:styleId="ndice">
    <w:name w:val="Índice"/>
    <w:basedOn w:val="Normal"/>
    <w:qFormat/>
    <w:pPr>
      <w:suppressLineNumbers/>
    </w:pPr>
    <w:rPr>
      <w:rFonts w:cs="Noto Sans Devanagari"/>
    </w:rPr>
  </w:style>
  <w:style w:type="paragraph" w:styleId="Cabeceraypie">
    <w:name w:val="Cabecera y pie"/>
    <w:basedOn w:val="Normal"/>
    <w:qFormat/>
    <w:pPr/>
    <w:rPr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lear" w:pos="720"/>
        <w:tab w:val="center" w:pos="4680" w:leader="none"/>
        <w:tab w:val="right" w:pos="9360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lear" w:pos="720"/>
        <w:tab w:val="center" w:pos="4680" w:leader="none"/>
        <w:tab w:val="right" w:pos="9360" w:leader="none"/>
      </w:tabs>
      <w:spacing w:lineRule="auto" w:line="240" w:before="0" w:after="0"/>
    </w:pPr>
    <w:rPr/>
  </w:style>
  <w:style w:type="paragraph" w:styleId="NoSpacing">
    <w:name w:val="No Spacing"/>
    <w:uiPriority w:val="1"/>
    <w:qFormat/>
    <w:rsid w:val="00fc693f"/>
    <w:pPr>
      <w:widowControl/>
      <w:bidi w:val="0"/>
      <w:spacing w:lineRule="auto" w:line="240" w:before="0" w:after="0"/>
      <w:jc w:val="left"/>
    </w:pPr>
    <w:rPr>
      <w:rFonts w:ascii="Cambria" w:hAnsi="Cambria" w:eastAsia="ＭＳ 明朝" w:cs="" w:asciiTheme="minorHAnsi" w:cstheme="minorBidi" w:eastAsiaTheme="minorEastAsia" w:hAnsiTheme="minorHAnsi"/>
      <w:color w:val="auto"/>
      <w:kern w:val="0"/>
      <w:sz w:val="22"/>
      <w:szCs w:val="22"/>
      <w:lang w:val="en-US" w:eastAsia="en-US" w:bidi="ar-SA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lineRule="auto" w:line="240" w:before="0" w:after="300"/>
      <w:contextualSpacing/>
    </w:pPr>
    <w:rPr>
      <w:rFonts w:ascii="Calibri" w:hAnsi="Calibri" w:eastAsia="ＭＳ ゴシック" w:cs="" w:asciiTheme="majorHAnsi" w:cstheme="majorBidi" w:eastAsiaTheme="majorEastAsia" w:hAnsiTheme="majorHAnsi"/>
      <w:color w:themeColor="text2" w:themeShade="bf" w:val="17365D"/>
      <w:spacing w:val="5"/>
      <w:kern w:val="2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/>
    <w:rPr>
      <w:rFonts w:ascii="Calibri" w:hAnsi="Calibri" w:eastAsia="ＭＳ ゴシック" w:cs=""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spacing w:before="0" w:after="200"/>
      <w:ind w:left="720"/>
      <w:contextualSpacing/>
    </w:pPr>
    <w:rPr/>
  </w:style>
  <w:style w:type="paragraph" w:styleId="BodyText2">
    <w:name w:val="Body Text 2"/>
    <w:basedOn w:val="Normal"/>
    <w:link w:val="BodyText2Char"/>
    <w:uiPriority w:val="99"/>
    <w:unhideWhenUsed/>
    <w:qFormat/>
    <w:rsid w:val="00aa1d8d"/>
    <w:pPr>
      <w:spacing w:lineRule="auto" w:line="480" w:before="0" w:after="120"/>
    </w:pPr>
    <w:rPr/>
  </w:style>
  <w:style w:type="paragraph" w:styleId="BodyText3">
    <w:name w:val="Body Text 3"/>
    <w:basedOn w:val="Normal"/>
    <w:link w:val="BodyText3Char"/>
    <w:uiPriority w:val="99"/>
    <w:unhideWhenUsed/>
    <w:qFormat/>
    <w:rsid w:val="00aa1d8d"/>
    <w:pPr>
      <w:spacing w:before="0" w:after="120"/>
    </w:pPr>
    <w:rPr>
      <w:sz w:val="16"/>
      <w:szCs w:val="16"/>
    </w:rPr>
  </w:style>
  <w:style w:type="paragraph" w:styleId="List2">
    <w:name w:val="List 2"/>
    <w:basedOn w:val="Normal"/>
    <w:uiPriority w:val="99"/>
    <w:unhideWhenUsed/>
    <w:qFormat/>
    <w:rsid w:val="00326f90"/>
    <w:pPr>
      <w:spacing w:before="0" w:after="200"/>
      <w:ind w:hanging="360" w:left="720"/>
      <w:contextualSpacing/>
    </w:pPr>
    <w:rPr/>
  </w:style>
  <w:style w:type="paragraph" w:styleId="List3">
    <w:name w:val="List 3"/>
    <w:basedOn w:val="Normal"/>
    <w:uiPriority w:val="99"/>
    <w:unhideWhenUsed/>
    <w:qFormat/>
    <w:rsid w:val="00326f90"/>
    <w:pPr>
      <w:spacing w:before="0" w:after="200"/>
      <w:ind w:hanging="360" w:left="1080"/>
      <w:contextualSpacing/>
    </w:pPr>
    <w:rPr/>
  </w:style>
  <w:style w:type="paragraph" w:styleId="ListBullet">
    <w:name w:val="List Bullet"/>
    <w:basedOn w:val="Normal"/>
    <w:uiPriority w:val="99"/>
    <w:unhideWhenUsed/>
    <w:rsid w:val="00326f90"/>
    <w:pPr>
      <w:numPr>
        <w:ilvl w:val="0"/>
        <w:numId w:val="1"/>
      </w:numPr>
      <w:spacing w:before="0" w:after="200"/>
      <w:contextualSpacing/>
    </w:pPr>
    <w:rPr/>
  </w:style>
  <w:style w:type="paragraph" w:styleId="ListBullet2">
    <w:name w:val="List Bullet 2"/>
    <w:basedOn w:val="Normal"/>
    <w:uiPriority w:val="99"/>
    <w:unhideWhenUsed/>
    <w:rsid w:val="00326f90"/>
    <w:pPr>
      <w:numPr>
        <w:ilvl w:val="0"/>
        <w:numId w:val="2"/>
      </w:numPr>
      <w:spacing w:before="0" w:after="200"/>
      <w:contextualSpacing/>
    </w:pPr>
    <w:rPr/>
  </w:style>
  <w:style w:type="paragraph" w:styleId="ListBullet3">
    <w:name w:val="List Bullet 3"/>
    <w:basedOn w:val="Normal"/>
    <w:uiPriority w:val="99"/>
    <w:unhideWhenUsed/>
    <w:rsid w:val="00326f90"/>
    <w:pPr>
      <w:numPr>
        <w:ilvl w:val="0"/>
        <w:numId w:val="3"/>
      </w:numPr>
      <w:spacing w:before="0" w:after="200"/>
      <w:contextualSpacing/>
    </w:pPr>
    <w:rPr/>
  </w:style>
  <w:style w:type="paragraph" w:styleId="ListNumber">
    <w:name w:val="List Number"/>
    <w:basedOn w:val="Normal"/>
    <w:uiPriority w:val="99"/>
    <w:unhideWhenUsed/>
    <w:rsid w:val="00326f90"/>
    <w:pPr>
      <w:numPr>
        <w:ilvl w:val="0"/>
        <w:numId w:val="4"/>
      </w:numPr>
      <w:spacing w:before="0" w:after="200"/>
      <w:contextualSpacing/>
    </w:pPr>
    <w:rPr/>
  </w:style>
  <w:style w:type="paragraph" w:styleId="ListNumber2">
    <w:name w:val="List Number 2"/>
    <w:basedOn w:val="Normal"/>
    <w:uiPriority w:val="99"/>
    <w:unhideWhenUsed/>
    <w:rsid w:val="0029639d"/>
    <w:pPr>
      <w:numPr>
        <w:ilvl w:val="0"/>
        <w:numId w:val="5"/>
      </w:numPr>
      <w:spacing w:before="0" w:after="200"/>
      <w:contextualSpacing/>
    </w:pPr>
    <w:rPr/>
  </w:style>
  <w:style w:type="paragraph" w:styleId="ListNumber3">
    <w:name w:val="List Number 3"/>
    <w:basedOn w:val="Normal"/>
    <w:uiPriority w:val="99"/>
    <w:unhideWhenUsed/>
    <w:rsid w:val="0029639d"/>
    <w:pPr>
      <w:numPr>
        <w:ilvl w:val="0"/>
        <w:numId w:val="6"/>
      </w:numPr>
      <w:spacing w:before="0" w:after="200"/>
      <w:contextualSpacing/>
    </w:pPr>
    <w:rPr/>
  </w:style>
  <w:style w:type="paragraph" w:styleId="ListContinue">
    <w:name w:val="List Continue"/>
    <w:basedOn w:val="Normal"/>
    <w:uiPriority w:val="99"/>
    <w:unhideWhenUsed/>
    <w:rsid w:val="0029639d"/>
    <w:pPr>
      <w:spacing w:before="0" w:after="120"/>
      <w:ind w:left="360"/>
      <w:contextualSpacing/>
    </w:pPr>
    <w:rPr/>
  </w:style>
  <w:style w:type="paragraph" w:styleId="ListContinue2">
    <w:name w:val="List Continue 2"/>
    <w:basedOn w:val="Normal"/>
    <w:uiPriority w:val="99"/>
    <w:unhideWhenUsed/>
    <w:rsid w:val="0029639d"/>
    <w:pPr>
      <w:spacing w:before="0" w:after="120"/>
      <w:ind w:left="720"/>
      <w:contextualSpacing/>
    </w:pPr>
    <w:rPr/>
  </w:style>
  <w:style w:type="paragraph" w:styleId="ListContinue3">
    <w:name w:val="List Continue 3"/>
    <w:basedOn w:val="Normal"/>
    <w:uiPriority w:val="99"/>
    <w:unhideWhenUsed/>
    <w:rsid w:val="0029639d"/>
    <w:pPr>
      <w:spacing w:before="0" w:after="120"/>
      <w:ind w:left="1080"/>
      <w:contextualSpacing/>
    </w:pPr>
    <w:rPr/>
  </w:style>
  <w:style w:type="paragraph" w:styleId="macro">
    <w:name w:val="macro"/>
    <w:link w:val="MacroTextChar"/>
    <w:uiPriority w:val="99"/>
    <w:unhideWhenUsed/>
    <w:qFormat/>
    <w:rsid w:val="0029639d"/>
    <w:pPr>
      <w:widowControl/>
      <w:tabs>
        <w:tab w:val="clear" w:pos="720"/>
        <w:tab w:val="left" w:pos="576" w:leader="none"/>
        <w:tab w:val="left" w:pos="1152" w:leader="none"/>
        <w:tab w:val="left" w:pos="1728" w:leader="none"/>
        <w:tab w:val="left" w:pos="2304" w:leader="none"/>
        <w:tab w:val="left" w:pos="2880" w:leader="none"/>
        <w:tab w:val="left" w:pos="3456" w:leader="none"/>
        <w:tab w:val="left" w:pos="4032" w:leader="none"/>
      </w:tabs>
      <w:bidi w:val="0"/>
      <w:spacing w:lineRule="auto" w:line="276" w:before="0" w:after="200"/>
      <w:jc w:val="left"/>
    </w:pPr>
    <w:rPr>
      <w:rFonts w:ascii="Courier" w:hAnsi="Courier" w:eastAsia="ＭＳ 明朝" w:cs="" w:cstheme="minorBidi" w:eastAsiaTheme="minorEastAsia"/>
      <w:color w:val="auto"/>
      <w:kern w:val="0"/>
      <w:sz w:val="20"/>
      <w:szCs w:val="20"/>
      <w:lang w:val="en-US" w:eastAsia="en-US" w:bidi="ar-SA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pPr/>
    <w:rPr>
      <w:i/>
      <w:iCs/>
      <w:color w:themeColor="text1" w:val="00000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themeColor="accent1" w:val="4F81BD"/>
    </w:rPr>
  </w:style>
  <w:style w:type="paragraph" w:styleId="IndexHeading">
    <w:name w:val="Index Heading"/>
    <w:basedOn w:val="Ttulo"/>
    <w:pPr/>
    <w:rPr/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  <w:rPr/>
  </w:style>
  <w:style w:type="numbering" w:styleId="Ningunalista" w:default="1">
    <w:name w:val="Ninguna lista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themeColor="text1" w:themeShade="bf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themeColor="accent1" w:themeShade="bf"/>
    </w:rPr>
    <w:tblPr>
      <w:tblStyleRowBandSize w:val="1"/>
      <w:tblStyleColBandSize w:val="1"/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themeColor="accent2" w:themeShade="bf"/>
    </w:rPr>
    <w:tblPr>
      <w:tblStyleRowBandSize w:val="1"/>
      <w:tblStyleColBandSize w:val="1"/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themeColor="accent3" w:themeShade="bf"/>
    </w:rPr>
    <w:tblPr>
      <w:tblStyleRowBandSize w:val="1"/>
      <w:tblStyleColBandSize w:val="1"/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themeColor="accent4" w:themeShade="bf"/>
    </w:rPr>
    <w:tblPr>
      <w:tblStyleRowBandSize w:val="1"/>
      <w:tblStyleColBandSize w:val="1"/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themeColor="accent5" w:themeShade="bf"/>
    </w:rPr>
    <w:tblPr>
      <w:tblStyleRowBandSize w:val="1"/>
      <w:tblStyleColBandSize w:val="1"/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themeColor="accent6" w:themeShade="bf"/>
    </w:rPr>
    <w:tblPr>
      <w:tblStyleRowBandSize w:val="1"/>
      <w:tblStyleColBandSize w:val="1"/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404040" w:themeColor="text1" w:sz="8" w:space="0"/>
          <w:left w:val="single" w:color="404040" w:themeColor="text1" w:sz="8" w:space="0"/>
          <w:bottom w:val="single" w:color="404040" w:themeColor="text1" w:sz="8" w:space="0"/>
          <w:right w:val="single" w:color="404040" w:themeColor="text1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04040" w:themeColor="text1" w:sz="6" w:space="0"/>
          <w:left w:val="single" w:color="404040" w:themeColor="text1" w:sz="8" w:space="0"/>
          <w:bottom w:val="single" w:color="404040" w:themeColor="text1" w:sz="8" w:space="0"/>
          <w:right w:val="single" w:color="404040" w:themeColor="text1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7BA0CD" w:themeColor="accent1" w:sz="8" w:space="0"/>
          <w:left w:val="single" w:color="7BA0CD" w:themeColor="accent1" w:sz="8" w:space="0"/>
          <w:bottom w:val="single" w:color="7BA0CD" w:themeColor="accent1" w:sz="8" w:space="0"/>
          <w:right w:val="single" w:color="7BA0CD" w:themeColor="accent1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sz="6" w:space="0"/>
          <w:left w:val="single" w:color="7BA0CD" w:themeColor="accent1" w:sz="8" w:space="0"/>
          <w:bottom w:val="single" w:color="7BA0CD" w:themeColor="accent1" w:sz="8" w:space="0"/>
          <w:right w:val="single" w:color="7BA0CD" w:themeColor="accent1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CF7B79" w:themeColor="accent2" w:sz="8" w:space="0"/>
          <w:left w:val="single" w:color="CF7B79" w:themeColor="accent2" w:sz="8" w:space="0"/>
          <w:bottom w:val="single" w:color="CF7B79" w:themeColor="accent2" w:sz="8" w:space="0"/>
          <w:right w:val="single" w:color="CF7B79" w:themeColor="accent2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sz="6" w:space="0"/>
          <w:left w:val="single" w:color="CF7B79" w:themeColor="accent2" w:sz="8" w:space="0"/>
          <w:bottom w:val="single" w:color="CF7B79" w:themeColor="accent2" w:sz="8" w:space="0"/>
          <w:right w:val="single" w:color="CF7B79" w:themeColor="accent2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B3CC82" w:themeColor="accent3" w:sz="8" w:space="0"/>
          <w:left w:val="single" w:color="B3CC82" w:themeColor="accent3" w:sz="8" w:space="0"/>
          <w:bottom w:val="single" w:color="B3CC82" w:themeColor="accent3" w:sz="8" w:space="0"/>
          <w:right w:val="single" w:color="B3CC82" w:themeColor="accent3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3CC82" w:themeColor="accent3" w:sz="6" w:space="0"/>
          <w:left w:val="single" w:color="B3CC82" w:themeColor="accent3" w:sz="8" w:space="0"/>
          <w:bottom w:val="single" w:color="B3CC82" w:themeColor="accent3" w:sz="8" w:space="0"/>
          <w:right w:val="single" w:color="B3CC82" w:themeColor="accent3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9F8AB9" w:themeColor="accent4" w:sz="8" w:space="0"/>
          <w:left w:val="single" w:color="9F8AB9" w:themeColor="accent4" w:sz="8" w:space="0"/>
          <w:bottom w:val="single" w:color="9F8AB9" w:themeColor="accent4" w:sz="8" w:space="0"/>
          <w:right w:val="single" w:color="9F8AB9" w:themeColor="accent4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sz="6" w:space="0"/>
          <w:left w:val="single" w:color="9F8AB9" w:themeColor="accent4" w:sz="8" w:space="0"/>
          <w:bottom w:val="single" w:color="9F8AB9" w:themeColor="accent4" w:sz="8" w:space="0"/>
          <w:right w:val="single" w:color="9F8AB9" w:themeColor="accent4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78C0D4" w:themeColor="accent5" w:sz="8" w:space="0"/>
          <w:left w:val="single" w:color="78C0D4" w:themeColor="accent5" w:sz="8" w:space="0"/>
          <w:bottom w:val="single" w:color="78C0D4" w:themeColor="accent5" w:sz="8" w:space="0"/>
          <w:right w:val="single" w:color="78C0D4" w:themeColor="accent5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sz="6" w:space="0"/>
          <w:left w:val="single" w:color="78C0D4" w:themeColor="accent5" w:sz="8" w:space="0"/>
          <w:bottom w:val="single" w:color="78C0D4" w:themeColor="accent5" w:sz="8" w:space="0"/>
          <w:right w:val="single" w:color="78C0D4" w:themeColor="accent5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F9B074" w:themeColor="accent6" w:sz="8" w:space="0"/>
          <w:left w:val="single" w:color="F9B074" w:themeColor="accent6" w:sz="8" w:space="0"/>
          <w:bottom w:val="single" w:color="F9B074" w:themeColor="accent6" w:sz="8" w:space="0"/>
          <w:right w:val="single" w:color="F9B074" w:themeColor="accent6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sz="6" w:space="0"/>
          <w:left w:val="single" w:color="F9B074" w:themeColor="accent6" w:sz="8" w:space="0"/>
          <w:bottom w:val="single" w:color="F9B074" w:themeColor="accent6" w:sz="8" w:space="0"/>
          <w:right w:val="single" w:color="F9B074" w:themeColor="accent6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/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/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/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/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/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/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/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themeColor="text2"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themeColor="text2"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themeColor="text2"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themeColor="text2"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themeColor="text2"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themeColor="text2"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themeColor="text2"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  <w:insideV w:val="single" w:color="404040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404040" w:themeColor="text1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7BA0CD" w:themeColor="accent1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CF7B79" w:themeColor="accent2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  <w:insideV w:val="single" w:color="B3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B3CC82" w:themeColor="accent3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9F8AB9" w:themeColor="accent4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78C0D4" w:themeColor="accent5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F9B074" w:themeColor="accent6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color="000000" w:themeColor="text1" w:sz="6" w:space="0"/>
          <w:insideV w:val="single" w:color="000000" w:themeColor="text1" w:sz="6" w:space="0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color="4F81BD" w:themeColor="accent1" w:sz="6" w:space="0"/>
          <w:insideV w:val="single" w:color="4F81BD" w:themeColor="accent1" w:sz="6" w:space="0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color="C0504D" w:themeColor="accent2" w:sz="6" w:space="0"/>
          <w:insideV w:val="single" w:color="C0504D" w:themeColor="accent2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color="9BBB59" w:themeColor="accent3" w:sz="6" w:space="0"/>
          <w:insideV w:val="single" w:color="9BBB59" w:themeColor="accent3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color="8064A2" w:themeColor="accent4" w:sz="6" w:space="0"/>
          <w:insideV w:val="single" w:color="8064A2" w:themeColor="accent4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color="4BACC6" w:themeColor="accent5" w:sz="6" w:space="0"/>
          <w:insideV w:val="single" w:color="4BACC6" w:themeColor="accent5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color="F79646" w:themeColor="accent6" w:sz="6" w:space="0"/>
          <w:insideV w:val="single" w:color="F79646" w:themeColor="accent6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color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color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color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color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color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color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color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color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color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color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color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color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color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color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color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color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color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color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color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color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color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color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color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color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color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color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color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color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themeColor="background1"/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single" w:color="000000" w:themeColor="text1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themeColor="text1"/>
      </w:rPr>
      <w:tblPr/>
    </w:tblStylePr>
    <w:tblStylePr w:type="nwCell">
      <w:rPr>
        <w:color w:themeColor="text1"/>
      </w:rPr>
      <w:tblPr/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themeColor="background1"/>
      </w:rPr>
      <w:tblPr/>
      <w:tcPr>
        <w:tcBorders>
          <w:top w:val="single" w:color="FFFFFF" w:themeColor="background1" w:sz="6" w:space="0"/>
        </w:tcBorders>
        <w:shd w:val="clear" w:color="auto" w:fill="2C4C74" w:themeFill="accent1" w:themeFillShade="99"/>
      </w:tcPr>
    </w:tblStylePr>
    <w:tblStylePr w:type="fir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single" w:color="2C4C74" w:themeColor="accent1" w:sz="4" w:space="0"/>
          <w:insideV w:val="nil"/>
        </w:tcBorders>
        <w:shd w:val="clear" w:color="auto" w:fill="2C4C74" w:themeFill="accent1" w:themeFillShade="99"/>
      </w:tcPr>
    </w:tblStylePr>
    <w:tblStylePr w:type="la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themeColor="text1"/>
      </w:rPr>
      <w:tblPr/>
    </w:tblStylePr>
    <w:tblStylePr w:type="nwCell">
      <w:rPr>
        <w:color w:themeColor="text1"/>
      </w:rPr>
      <w:tblPr/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themeColor="background1"/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single" w:color="772C2A" w:themeColor="accent2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themeColor="text1"/>
      </w:rPr>
      <w:tblPr/>
    </w:tblStylePr>
    <w:tblStylePr w:type="nwCell">
      <w:rPr>
        <w:color w:themeColor="text1"/>
      </w:rPr>
      <w:tblPr/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themeColor="background1"/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single" w:color="5E7530" w:themeColor="accent3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themeColor="background1"/>
      </w:rPr>
      <w:tblPr/>
      <w:tcPr>
        <w:tcBorders>
          <w:top w:val="single" w:color="FFFFFF" w:themeColor="background1" w:sz="6" w:space="0"/>
        </w:tcBorders>
        <w:shd w:val="clear" w:color="auto" w:fill="4C3B62" w:themeFill="accent4" w:themeFillShade="99"/>
      </w:tcPr>
    </w:tblStylePr>
    <w:tblStylePr w:type="fir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single" w:color="4C3B62" w:themeColor="accent4" w:sz="4" w:space="0"/>
          <w:insideV w:val="nil"/>
        </w:tcBorders>
        <w:shd w:val="clear" w:color="auto" w:fill="4C3B62" w:themeFill="accent4" w:themeFillShade="99"/>
      </w:tcPr>
    </w:tblStylePr>
    <w:tblStylePr w:type="la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themeColor="text1"/>
      </w:rPr>
      <w:tblPr/>
    </w:tblStylePr>
    <w:tblStylePr w:type="nwCell">
      <w:rPr>
        <w:color w:themeColor="text1"/>
      </w:rPr>
      <w:tblPr/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themeColor="background1"/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single" w:color="276A7C" w:themeColor="accent5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themeColor="text1"/>
      </w:rPr>
      <w:tblPr/>
    </w:tblStylePr>
    <w:tblStylePr w:type="nwCell">
      <w:rPr>
        <w:color w:themeColor="text1"/>
      </w:rPr>
      <w:tblPr/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themeColor="background1"/>
      </w:rPr>
      <w:tblPr/>
      <w:tcPr>
        <w:tcBorders>
          <w:top w:val="single" w:color="FFFFFF" w:themeColor="background1" w:sz="6" w:space="0"/>
        </w:tcBorders>
        <w:shd w:val="clear" w:color="auto" w:fill="B65608" w:themeFill="accent6" w:themeFillShade="99"/>
      </w:tcPr>
    </w:tblStylePr>
    <w:tblStylePr w:type="fir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single" w:color="B65608" w:themeColor="accent6" w:sz="4" w:space="0"/>
          <w:insideV w:val="nil"/>
        </w:tcBorders>
        <w:shd w:val="clear" w:color="auto" w:fill="B65608" w:themeFill="accent6" w:themeFillShade="99"/>
      </w:tcPr>
    </w:tblStylePr>
    <w:tblStylePr w:type="la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themeColor="text1"/>
      </w:rPr>
      <w:tblPr/>
    </w:tblStylePr>
    <w:tblStylePr w:type="nwCell">
      <w:rPr>
        <w:color w:themeColor="text1"/>
      </w:rPr>
      <w:tblPr/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themeColor="background1"/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themeColor="background1"/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themeColor="background1"/>
      </w:rPr>
      <w:tblPr/>
      <w:tcPr>
        <w:tcBorders>
          <w:bottom w:val="single" w:color="FFFFFF" w:themeColor="background1" w:sz="12" w:space="0"/>
        </w:tcBorders>
        <w:shd w:val="clear" w:color="auto" w:fill="F2730A" w:themeFill="accent6" w:themeFillShade="cc"/>
      </w:tcPr>
    </w:tblStylePr>
    <w:tblStylePr w:type="lastRow">
      <w:rPr>
        <w:b/>
        <w:bCs/>
        <w:color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themeColor="background1"/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2.png"/><Relationship Id="rId4" Type="http://schemas.openxmlformats.org/officeDocument/2006/relationships/image" Target="media/image3.png"/><Relationship Id="rId5" Type="http://schemas.openxmlformats.org/officeDocument/2006/relationships/image" Target="media/image4.png"/><Relationship Id="rId6" Type="http://schemas.openxmlformats.org/officeDocument/2006/relationships/image" Target="media/image5.png"/><Relationship Id="rId7" Type="http://schemas.openxmlformats.org/officeDocument/2006/relationships/header" Target="header1.xml"/><Relationship Id="rId8" Type="http://schemas.openxmlformats.org/officeDocument/2006/relationships/header" Target="header2.xml"/><Relationship Id="rId9" Type="http://schemas.openxmlformats.org/officeDocument/2006/relationships/header" Target="header3.xml"/><Relationship Id="rId10" Type="http://schemas.openxmlformats.org/officeDocument/2006/relationships/footer" Target="footer1.xml"/><Relationship Id="rId11" Type="http://schemas.openxmlformats.org/officeDocument/2006/relationships/footer" Target="footer2.xml"/><Relationship Id="rId12" Type="http://schemas.openxmlformats.org/officeDocument/2006/relationships/footer" Target="footer3.xml"/><Relationship Id="rId13" Type="http://schemas.openxmlformats.org/officeDocument/2006/relationships/numbering" Target="numbering.xml"/><Relationship Id="rId14" Type="http://schemas.openxmlformats.org/officeDocument/2006/relationships/fontTable" Target="fontTable.xml"/><Relationship Id="rId15" Type="http://schemas.openxmlformats.org/officeDocument/2006/relationships/settings" Target="settings.xml"/><Relationship Id="rId16" Type="http://schemas.openxmlformats.org/officeDocument/2006/relationships/theme" Target="theme/theme1.xml"/><Relationship Id="rId1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 pitchFamily="0" charset="1"/>
        <a:ea typeface=""/>
        <a:cs typeface=""/>
      </a:majorFont>
      <a:minorFont>
        <a:latin typeface="Cambria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Application>LibreOffice/24.2.7.2$Linux_X86_64 LibreOffice_project/420$Build-2</Application>
  <AppVersion>15.0000</AppVersion>
  <Pages>8</Pages>
  <Words>1522</Words>
  <Characters>8171</Characters>
  <CharactersWithSpaces>9489</CharactersWithSpaces>
  <Paragraphs>178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Subitronics</dc:creator>
  <dc:description>generated by python-docx</dc:description>
  <cp:keywords>DC-DC Raspberry Pi 9-60 VDC 5 V industrial</cp:keywords>
  <dc:language>es-ES</dc:language>
  <cp:lastModifiedBy/>
  <cp:lastPrinted>2026-07-22T10:21:40Z</cp:lastPrinted>
  <dcterms:modified xsi:type="dcterms:W3CDTF">2026-07-22T10:21:25Z</dcterms:modified>
  <cp:revision>5</cp:revision>
  <dc:subject>Documentación técnica</dc:subject>
  <dc:title>Fuente DC-DC industrial con soporte para Raspberry Pi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